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2F37" w14:textId="77777777" w:rsidR="005B3FC9" w:rsidRPr="00DA2E95" w:rsidRDefault="005B3FC9" w:rsidP="005B3FC9">
      <w:pPr>
        <w:rPr>
          <w:rFonts w:ascii="Effra" w:hAnsi="Effra"/>
        </w:rPr>
      </w:pPr>
    </w:p>
    <w:p w14:paraId="0F8E2D25" w14:textId="77777777" w:rsidR="005B3FC9" w:rsidRPr="00DA2E95" w:rsidRDefault="005B3FC9" w:rsidP="005B3FC9">
      <w:pPr>
        <w:autoSpaceDE w:val="0"/>
        <w:autoSpaceDN w:val="0"/>
        <w:adjustRightInd w:val="0"/>
        <w:spacing w:after="120" w:line="280" w:lineRule="exact"/>
        <w:jc w:val="both"/>
        <w:rPr>
          <w:rFonts w:ascii="Effra" w:hAnsi="Effra"/>
        </w:rPr>
      </w:pPr>
      <w:r w:rsidRPr="00DA2E95">
        <w:rPr>
          <w:rFonts w:ascii="Effra" w:hAnsi="Effra" w:cs="Arial"/>
          <w:b/>
          <w:bCs/>
          <w:sz w:val="19"/>
          <w:szCs w:val="19"/>
        </w:rPr>
        <w:t xml:space="preserve">VEDERLAGSPOLITIK FOR BRØNDBYERNES I.F. FODBOLD A/S </w:t>
      </w:r>
    </w:p>
    <w:p w14:paraId="5C66A7F3" w14:textId="77777777" w:rsidR="005B3FC9" w:rsidRPr="00DA2E95" w:rsidRDefault="005B3FC9" w:rsidP="005B3FC9">
      <w:pPr>
        <w:rPr>
          <w:rFonts w:ascii="Effra" w:hAnsi="Effra"/>
        </w:rPr>
      </w:pPr>
      <w:bookmarkStart w:id="0" w:name="Start"/>
      <w:bookmarkEnd w:id="0"/>
    </w:p>
    <w:p w14:paraId="3EBBD7FD" w14:textId="77777777" w:rsidR="005B3FC9" w:rsidRPr="00DA2E95" w:rsidRDefault="005B3FC9" w:rsidP="005B3FC9">
      <w:pPr>
        <w:pStyle w:val="Listeafsnit"/>
        <w:numPr>
          <w:ilvl w:val="0"/>
          <w:numId w:val="15"/>
        </w:numPr>
        <w:autoSpaceDE w:val="0"/>
        <w:autoSpaceDN w:val="0"/>
        <w:adjustRightInd w:val="0"/>
        <w:spacing w:after="120" w:line="280" w:lineRule="exact"/>
        <w:ind w:left="284" w:hanging="284"/>
        <w:jc w:val="both"/>
        <w:rPr>
          <w:rFonts w:ascii="Effra" w:hAnsi="Effra" w:cs="Arial"/>
          <w:b/>
          <w:bCs/>
          <w:sz w:val="19"/>
          <w:szCs w:val="19"/>
          <w:lang w:val="da-DK"/>
        </w:rPr>
      </w:pPr>
      <w:r w:rsidRPr="00DA2E95">
        <w:rPr>
          <w:rFonts w:ascii="Effra" w:hAnsi="Effra" w:cs="Arial"/>
          <w:b/>
          <w:bCs/>
          <w:sz w:val="19"/>
          <w:szCs w:val="19"/>
          <w:lang w:val="da-DK"/>
        </w:rPr>
        <w:t xml:space="preserve">Indledning </w:t>
      </w:r>
    </w:p>
    <w:p w14:paraId="4759D695" w14:textId="77777777" w:rsidR="00D22888" w:rsidRPr="00D22888" w:rsidRDefault="00D22888" w:rsidP="00D22888">
      <w:pPr>
        <w:autoSpaceDE w:val="0"/>
        <w:autoSpaceDN w:val="0"/>
        <w:adjustRightInd w:val="0"/>
        <w:spacing w:after="120" w:line="280" w:lineRule="exact"/>
        <w:jc w:val="both"/>
        <w:rPr>
          <w:rFonts w:ascii="Effra" w:hAnsi="Effra" w:cs="Arial"/>
          <w:sz w:val="19"/>
          <w:szCs w:val="19"/>
        </w:rPr>
      </w:pPr>
      <w:r w:rsidRPr="00D22888">
        <w:rPr>
          <w:rFonts w:ascii="Effra" w:hAnsi="Effra" w:cs="Arial"/>
          <w:sz w:val="19"/>
          <w:szCs w:val="19"/>
        </w:rPr>
        <w:t xml:space="preserve">I henhold til selskabslovens §§ 139 og 139a har bestyrelsen for Brøndbyernes I.F. Fodbold A/S (”Selskabet”) </w:t>
      </w:r>
      <w:r w:rsidRPr="009059E1">
        <w:rPr>
          <w:rFonts w:ascii="Effra" w:hAnsi="Effra" w:cs="Arial"/>
          <w:sz w:val="19"/>
          <w:szCs w:val="19"/>
        </w:rPr>
        <w:t xml:space="preserve">fastsat denne politik for aflønning af </w:t>
      </w:r>
      <w:r w:rsidRPr="00B94F2C">
        <w:rPr>
          <w:rFonts w:ascii="Effra" w:hAnsi="Effra" w:cs="Arial"/>
          <w:sz w:val="19"/>
          <w:szCs w:val="19"/>
        </w:rPr>
        <w:t>Selskabets bestyrelse og direktion.</w:t>
      </w:r>
      <w:r w:rsidRPr="003557BD">
        <w:rPr>
          <w:rFonts w:ascii="Effra" w:hAnsi="Effra" w:cs="Arial"/>
          <w:sz w:val="19"/>
          <w:szCs w:val="19"/>
        </w:rPr>
        <w:t xml:space="preserve"> </w:t>
      </w:r>
      <w:r w:rsidRPr="00D22888">
        <w:rPr>
          <w:rFonts w:ascii="Effra" w:hAnsi="Effra" w:cs="Arial"/>
          <w:sz w:val="19"/>
          <w:szCs w:val="19"/>
        </w:rPr>
        <w:t xml:space="preserve">Selskabets retningslinjer for incitamentsaflønning af ledelsen er integreret i vederlagspolitikken. </w:t>
      </w:r>
    </w:p>
    <w:p w14:paraId="5C89EB84" w14:textId="7C1AA1A1" w:rsidR="005B3FC9" w:rsidRDefault="00FC09FC" w:rsidP="005B3FC9">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Ved ”</w:t>
      </w:r>
      <w:r w:rsidR="005B3FC9" w:rsidRPr="00DA2E95">
        <w:rPr>
          <w:rFonts w:ascii="Effra" w:hAnsi="Effra" w:cs="Arial"/>
          <w:sz w:val="19"/>
          <w:szCs w:val="19"/>
        </w:rPr>
        <w:t>direktion</w:t>
      </w:r>
      <w:r>
        <w:rPr>
          <w:rFonts w:ascii="Effra" w:hAnsi="Effra" w:cs="Arial"/>
          <w:sz w:val="19"/>
          <w:szCs w:val="19"/>
        </w:rPr>
        <w:t>”</w:t>
      </w:r>
      <w:r w:rsidR="005B3FC9" w:rsidRPr="00DA2E95">
        <w:rPr>
          <w:rFonts w:ascii="Effra" w:hAnsi="Effra" w:cs="Arial"/>
          <w:sz w:val="19"/>
          <w:szCs w:val="19"/>
        </w:rPr>
        <w:t xml:space="preserve"> forstås de(n) direktør(er), som er anmeldt til Erhvervsstyrelsen som direktør(er) i Selskabet</w:t>
      </w:r>
      <w:r w:rsidR="0035199E">
        <w:rPr>
          <w:rFonts w:ascii="Effra" w:hAnsi="Effra" w:cs="Arial"/>
          <w:sz w:val="19"/>
          <w:szCs w:val="19"/>
        </w:rPr>
        <w:t xml:space="preserve"> eller som varetager den daglige ledelse</w:t>
      </w:r>
      <w:r w:rsidR="00BF2FCA">
        <w:rPr>
          <w:rFonts w:ascii="Effra" w:hAnsi="Effra" w:cs="Arial"/>
          <w:sz w:val="19"/>
          <w:szCs w:val="19"/>
        </w:rPr>
        <w:t xml:space="preserve"> inden for et organisationsområde med reference til bestyrelsen</w:t>
      </w:r>
      <w:r w:rsidR="005B3FC9" w:rsidRPr="00DA2E95">
        <w:rPr>
          <w:rFonts w:ascii="Effra" w:hAnsi="Effra" w:cs="Arial"/>
          <w:sz w:val="19"/>
          <w:szCs w:val="19"/>
        </w:rPr>
        <w:t xml:space="preserve">. </w:t>
      </w:r>
    </w:p>
    <w:p w14:paraId="3E19AFF4" w14:textId="77777777" w:rsidR="005B3FC9" w:rsidRPr="00DA2E95" w:rsidRDefault="005B3FC9" w:rsidP="005B3FC9">
      <w:pPr>
        <w:autoSpaceDE w:val="0"/>
        <w:autoSpaceDN w:val="0"/>
        <w:adjustRightInd w:val="0"/>
        <w:spacing w:after="120" w:line="280" w:lineRule="exact"/>
        <w:jc w:val="both"/>
        <w:rPr>
          <w:rFonts w:ascii="Effra" w:hAnsi="Effra" w:cs="Arial"/>
          <w:sz w:val="19"/>
          <w:szCs w:val="19"/>
        </w:rPr>
      </w:pPr>
    </w:p>
    <w:p w14:paraId="7A7FF83B" w14:textId="77777777" w:rsidR="005B3FC9" w:rsidRPr="00DA2E95" w:rsidRDefault="005B3FC9" w:rsidP="005B3FC9">
      <w:pPr>
        <w:pStyle w:val="Listeafsnit"/>
        <w:numPr>
          <w:ilvl w:val="0"/>
          <w:numId w:val="15"/>
        </w:numPr>
        <w:autoSpaceDE w:val="0"/>
        <w:autoSpaceDN w:val="0"/>
        <w:adjustRightInd w:val="0"/>
        <w:spacing w:after="120" w:line="280" w:lineRule="exact"/>
        <w:ind w:left="284" w:hanging="284"/>
        <w:jc w:val="both"/>
        <w:rPr>
          <w:rFonts w:ascii="Effra" w:hAnsi="Effra" w:cs="Arial"/>
          <w:b/>
          <w:bCs/>
          <w:sz w:val="19"/>
          <w:szCs w:val="19"/>
          <w:lang w:val="da-DK"/>
        </w:rPr>
      </w:pPr>
      <w:r w:rsidRPr="00DA2E95">
        <w:rPr>
          <w:rFonts w:ascii="Effra" w:hAnsi="Effra" w:cs="Arial"/>
          <w:b/>
          <w:bCs/>
          <w:sz w:val="19"/>
          <w:szCs w:val="19"/>
          <w:lang w:val="da-DK"/>
        </w:rPr>
        <w:t xml:space="preserve">Generelle principper </w:t>
      </w:r>
    </w:p>
    <w:p w14:paraId="1A62F269" w14:textId="75B11C13" w:rsidR="005B3FC9" w:rsidRPr="00690CC3" w:rsidRDefault="005B3FC9"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 xml:space="preserve">Den samlede vederlæggelse af Selskabets bestyrelse og direktion skal på den ene side være forsvarlig set i relation til Selskabets situation og på den anden side være konkurrencedygtig og medvirke til at sikre, at Selskabet kan tiltrække og fastholde kvalificerede bestyrelsesmedlemmer og direktører. </w:t>
      </w:r>
    </w:p>
    <w:p w14:paraId="60FA6D1A" w14:textId="268EED34" w:rsidR="00D22888" w:rsidRDefault="00D22888" w:rsidP="00D22888">
      <w:pPr>
        <w:autoSpaceDE w:val="0"/>
        <w:autoSpaceDN w:val="0"/>
        <w:adjustRightInd w:val="0"/>
        <w:spacing w:after="120" w:line="280" w:lineRule="exact"/>
        <w:jc w:val="both"/>
        <w:rPr>
          <w:rFonts w:ascii="Effra" w:hAnsi="Effra" w:cs="Arial"/>
          <w:sz w:val="19"/>
          <w:szCs w:val="19"/>
        </w:rPr>
      </w:pPr>
      <w:r w:rsidRPr="000969CD">
        <w:rPr>
          <w:rFonts w:ascii="Effra" w:hAnsi="Effra" w:cs="Arial"/>
          <w:sz w:val="19"/>
          <w:szCs w:val="19"/>
        </w:rPr>
        <w:t xml:space="preserve">Vederlagspolitikkens formål er at fremme værdiskabelsen i </w:t>
      </w:r>
      <w:r w:rsidR="00CB3EDF">
        <w:rPr>
          <w:rFonts w:ascii="Effra" w:hAnsi="Effra" w:cs="Arial"/>
          <w:sz w:val="19"/>
          <w:szCs w:val="19"/>
        </w:rPr>
        <w:t>S</w:t>
      </w:r>
      <w:r w:rsidRPr="000969CD">
        <w:rPr>
          <w:rFonts w:ascii="Effra" w:hAnsi="Effra" w:cs="Arial"/>
          <w:sz w:val="19"/>
          <w:szCs w:val="19"/>
        </w:rPr>
        <w:t xml:space="preserve">elskabet ved en realisering af </w:t>
      </w:r>
      <w:r>
        <w:rPr>
          <w:rFonts w:ascii="Effra" w:hAnsi="Effra" w:cs="Arial"/>
          <w:sz w:val="19"/>
          <w:szCs w:val="19"/>
        </w:rPr>
        <w:t>Selskabets</w:t>
      </w:r>
      <w:r w:rsidRPr="000969CD">
        <w:rPr>
          <w:rFonts w:ascii="Effra" w:hAnsi="Effra" w:cs="Arial"/>
          <w:sz w:val="19"/>
          <w:szCs w:val="19"/>
        </w:rPr>
        <w:t xml:space="preserve"> forretningsstrategi og bæredygtighed og at sikre fælles interesse mellem </w:t>
      </w:r>
      <w:r>
        <w:rPr>
          <w:rFonts w:ascii="Effra" w:hAnsi="Effra" w:cs="Arial"/>
          <w:sz w:val="19"/>
          <w:szCs w:val="19"/>
        </w:rPr>
        <w:t>direktionen, bestyrelsen</w:t>
      </w:r>
      <w:r w:rsidRPr="000969CD">
        <w:rPr>
          <w:rFonts w:ascii="Effra" w:hAnsi="Effra" w:cs="Arial"/>
          <w:sz w:val="19"/>
          <w:szCs w:val="19"/>
        </w:rPr>
        <w:t xml:space="preserve">, </w:t>
      </w:r>
      <w:r>
        <w:rPr>
          <w:rFonts w:ascii="Effra" w:hAnsi="Effra" w:cs="Arial"/>
          <w:sz w:val="19"/>
          <w:szCs w:val="19"/>
        </w:rPr>
        <w:t>S</w:t>
      </w:r>
      <w:r w:rsidRPr="000969CD">
        <w:rPr>
          <w:rFonts w:ascii="Effra" w:hAnsi="Effra" w:cs="Arial"/>
          <w:sz w:val="19"/>
          <w:szCs w:val="19"/>
        </w:rPr>
        <w:t xml:space="preserve">elskabet og aktionærer </w:t>
      </w:r>
      <w:r w:rsidR="00EA7D59">
        <w:rPr>
          <w:rFonts w:ascii="Effra" w:hAnsi="Effra" w:cs="Arial"/>
          <w:sz w:val="19"/>
          <w:szCs w:val="19"/>
        </w:rPr>
        <w:t xml:space="preserve">således </w:t>
      </w:r>
      <w:r w:rsidRPr="000969CD">
        <w:rPr>
          <w:rFonts w:ascii="Effra" w:hAnsi="Effra" w:cs="Arial"/>
          <w:sz w:val="19"/>
          <w:szCs w:val="19"/>
        </w:rPr>
        <w:t xml:space="preserve">at </w:t>
      </w:r>
      <w:r>
        <w:rPr>
          <w:rFonts w:ascii="Effra" w:hAnsi="Effra" w:cs="Arial"/>
          <w:sz w:val="19"/>
          <w:szCs w:val="19"/>
        </w:rPr>
        <w:t>S</w:t>
      </w:r>
      <w:r w:rsidRPr="000969CD">
        <w:rPr>
          <w:rFonts w:ascii="Effra" w:hAnsi="Effra" w:cs="Arial"/>
          <w:sz w:val="19"/>
          <w:szCs w:val="19"/>
        </w:rPr>
        <w:t>elskabets</w:t>
      </w:r>
      <w:r w:rsidR="00890FAE">
        <w:rPr>
          <w:rFonts w:ascii="Effra" w:hAnsi="Effra" w:cs="Arial"/>
          <w:sz w:val="19"/>
          <w:szCs w:val="19"/>
        </w:rPr>
        <w:t xml:space="preserve"> kort- og</w:t>
      </w:r>
      <w:r w:rsidRPr="000969CD">
        <w:rPr>
          <w:rFonts w:ascii="Effra" w:hAnsi="Effra" w:cs="Arial"/>
          <w:sz w:val="19"/>
          <w:szCs w:val="19"/>
        </w:rPr>
        <w:t xml:space="preserve"> langsigtede interesser </w:t>
      </w:r>
      <w:r w:rsidR="00621627">
        <w:rPr>
          <w:rFonts w:ascii="Effra" w:hAnsi="Effra" w:cs="Arial"/>
          <w:sz w:val="19"/>
          <w:szCs w:val="19"/>
        </w:rPr>
        <w:t xml:space="preserve">varetages </w:t>
      </w:r>
      <w:r w:rsidRPr="000969CD">
        <w:rPr>
          <w:rFonts w:ascii="Effra" w:hAnsi="Effra" w:cs="Arial"/>
          <w:sz w:val="19"/>
          <w:szCs w:val="19"/>
        </w:rPr>
        <w:t xml:space="preserve">og mål realiseres. </w:t>
      </w:r>
    </w:p>
    <w:p w14:paraId="023858D0" w14:textId="77777777" w:rsidR="00D22888" w:rsidRDefault="00D22888" w:rsidP="00D22888">
      <w:pPr>
        <w:autoSpaceDE w:val="0"/>
        <w:autoSpaceDN w:val="0"/>
        <w:adjustRightInd w:val="0"/>
        <w:spacing w:after="120" w:line="280" w:lineRule="exact"/>
        <w:jc w:val="both"/>
        <w:rPr>
          <w:rFonts w:ascii="Effra" w:hAnsi="Effra" w:cs="Arial"/>
          <w:sz w:val="19"/>
          <w:szCs w:val="19"/>
        </w:rPr>
      </w:pPr>
      <w:r w:rsidRPr="00E12794">
        <w:rPr>
          <w:rFonts w:ascii="Effra" w:hAnsi="Effra" w:cs="Arial"/>
          <w:sz w:val="19"/>
          <w:szCs w:val="19"/>
        </w:rPr>
        <w:t xml:space="preserve">Vederlaget til </w:t>
      </w:r>
      <w:r>
        <w:rPr>
          <w:rFonts w:ascii="Effra" w:hAnsi="Effra" w:cs="Arial"/>
          <w:sz w:val="19"/>
          <w:szCs w:val="19"/>
        </w:rPr>
        <w:t>l</w:t>
      </w:r>
      <w:r w:rsidRPr="00E12794">
        <w:rPr>
          <w:rFonts w:ascii="Effra" w:hAnsi="Effra" w:cs="Arial"/>
          <w:sz w:val="19"/>
          <w:szCs w:val="19"/>
        </w:rPr>
        <w:t xml:space="preserve">edelsen skal fastsættes med henblik på at understøtte en langsigtet værdiskabelse og bæredygtighed for </w:t>
      </w:r>
      <w:r>
        <w:rPr>
          <w:rFonts w:ascii="Effra" w:hAnsi="Effra" w:cs="Arial"/>
          <w:sz w:val="19"/>
          <w:szCs w:val="19"/>
        </w:rPr>
        <w:t>Selskabet</w:t>
      </w:r>
      <w:r w:rsidRPr="00E12794">
        <w:rPr>
          <w:rFonts w:ascii="Effra" w:hAnsi="Effra" w:cs="Arial"/>
          <w:sz w:val="19"/>
          <w:szCs w:val="19"/>
        </w:rPr>
        <w:t xml:space="preserve"> og skal være rimeligt henset til </w:t>
      </w:r>
      <w:r w:rsidR="00890FAE">
        <w:rPr>
          <w:rFonts w:ascii="Effra" w:hAnsi="Effra" w:cs="Arial"/>
          <w:sz w:val="19"/>
          <w:szCs w:val="19"/>
        </w:rPr>
        <w:t>l</w:t>
      </w:r>
      <w:r w:rsidRPr="00E12794">
        <w:rPr>
          <w:rFonts w:ascii="Effra" w:hAnsi="Effra" w:cs="Arial"/>
          <w:sz w:val="19"/>
          <w:szCs w:val="19"/>
        </w:rPr>
        <w:t>edelsens selvstændige indsats, ansvar og værdiskabelse.</w:t>
      </w:r>
      <w:r>
        <w:rPr>
          <w:rFonts w:ascii="Effra" w:hAnsi="Effra" w:cs="Arial"/>
          <w:sz w:val="19"/>
          <w:szCs w:val="19"/>
        </w:rPr>
        <w:t xml:space="preserve"> </w:t>
      </w:r>
    </w:p>
    <w:p w14:paraId="46B3D949" w14:textId="77777777" w:rsidR="00D22888" w:rsidRDefault="00D22888" w:rsidP="00D22888">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 xml:space="preserve">Vederlagspolitikken, herunder navnlig aflønningen af direktionen, bidrager til </w:t>
      </w:r>
      <w:r w:rsidR="000E3FCE">
        <w:rPr>
          <w:rFonts w:ascii="Effra" w:hAnsi="Effra" w:cs="Arial"/>
          <w:sz w:val="19"/>
          <w:szCs w:val="19"/>
        </w:rPr>
        <w:t>S</w:t>
      </w:r>
      <w:r>
        <w:rPr>
          <w:rFonts w:ascii="Effra" w:hAnsi="Effra" w:cs="Arial"/>
          <w:sz w:val="19"/>
          <w:szCs w:val="19"/>
        </w:rPr>
        <w:t>elskabets forretningsstrategi samt langsigtede interesser på flere måder. De anvend</w:t>
      </w:r>
      <w:r w:rsidR="00890FAE">
        <w:rPr>
          <w:rFonts w:ascii="Effra" w:hAnsi="Effra" w:cs="Arial"/>
          <w:sz w:val="19"/>
          <w:szCs w:val="19"/>
        </w:rPr>
        <w:t>t</w:t>
      </w:r>
      <w:r>
        <w:rPr>
          <w:rFonts w:ascii="Effra" w:hAnsi="Effra" w:cs="Arial"/>
          <w:sz w:val="19"/>
          <w:szCs w:val="19"/>
        </w:rPr>
        <w:t>e resultatkriterier</w:t>
      </w:r>
      <w:r w:rsidR="00890FAE">
        <w:rPr>
          <w:rFonts w:ascii="Effra" w:hAnsi="Effra" w:cs="Arial"/>
          <w:sz w:val="19"/>
          <w:szCs w:val="19"/>
        </w:rPr>
        <w:t xml:space="preserve"> for variabel aflønning</w:t>
      </w:r>
      <w:r>
        <w:rPr>
          <w:rFonts w:ascii="Effra" w:hAnsi="Effra" w:cs="Arial"/>
          <w:sz w:val="19"/>
          <w:szCs w:val="19"/>
        </w:rPr>
        <w:t xml:space="preserve"> er </w:t>
      </w:r>
      <w:r w:rsidR="00890FAE">
        <w:rPr>
          <w:rFonts w:ascii="Effra" w:hAnsi="Effra" w:cs="Arial"/>
          <w:sz w:val="19"/>
          <w:szCs w:val="19"/>
        </w:rPr>
        <w:t xml:space="preserve">afhængig af </w:t>
      </w:r>
      <w:r>
        <w:rPr>
          <w:rFonts w:ascii="Effra" w:hAnsi="Effra" w:cs="Arial"/>
          <w:sz w:val="19"/>
          <w:szCs w:val="19"/>
        </w:rPr>
        <w:t xml:space="preserve">Selskabets økonomiske og sportslige resultater, der begge er væsentlige forudsætninger i Selskabets strategiske målsætninger. Selskabets sportslige resultater er afgørende for værdiskabelsen på såvel kort og langt sigt. Tilsvarende vil de sportslige resultater indgå som en væsentlig faktor i forhold til aktiekursens udvikling. Særligt det forhold, at den resultatafhængige løn supplerer et fast vederlag medfører, at der understøttes et langsigtet økonomisk fundament for Selskabet og det sportslige </w:t>
      </w:r>
      <w:proofErr w:type="spellStart"/>
      <w:r>
        <w:rPr>
          <w:rFonts w:ascii="Effra" w:hAnsi="Effra" w:cs="Arial"/>
          <w:sz w:val="19"/>
          <w:szCs w:val="19"/>
        </w:rPr>
        <w:t>setup</w:t>
      </w:r>
      <w:proofErr w:type="spellEnd"/>
      <w:r w:rsidR="003D57F5">
        <w:rPr>
          <w:rFonts w:ascii="Effra" w:hAnsi="Effra" w:cs="Arial"/>
          <w:sz w:val="19"/>
          <w:szCs w:val="19"/>
        </w:rPr>
        <w:t>, hvilket har til formål at understøtte et bæredygtigt fundament for Selskabets økonomiske situation.</w:t>
      </w:r>
    </w:p>
    <w:p w14:paraId="7CA3A86D" w14:textId="77777777" w:rsidR="00F031D1" w:rsidRPr="00DA2E95" w:rsidRDefault="00F031D1" w:rsidP="00D22888">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 xml:space="preserve">Selskabet kan i konkrete situationer vælge at indgå </w:t>
      </w:r>
      <w:r w:rsidR="00C020B4">
        <w:rPr>
          <w:rFonts w:ascii="Effra" w:hAnsi="Effra" w:cs="Arial"/>
          <w:sz w:val="19"/>
          <w:szCs w:val="19"/>
        </w:rPr>
        <w:t xml:space="preserve">fastholdelses- eller fratrædelsesordninger med direktionen, såfremt det skønnes </w:t>
      </w:r>
      <w:r w:rsidR="00B57DD7">
        <w:rPr>
          <w:rFonts w:ascii="Effra" w:hAnsi="Effra" w:cs="Arial"/>
          <w:sz w:val="19"/>
          <w:szCs w:val="19"/>
        </w:rPr>
        <w:t>egnet til</w:t>
      </w:r>
      <w:r w:rsidR="00C020B4">
        <w:rPr>
          <w:rFonts w:ascii="Effra" w:hAnsi="Effra" w:cs="Arial"/>
          <w:sz w:val="19"/>
          <w:szCs w:val="19"/>
        </w:rPr>
        <w:t xml:space="preserve"> at varetage Selskabets interesser</w:t>
      </w:r>
      <w:r w:rsidR="009250EE">
        <w:rPr>
          <w:rFonts w:ascii="Effra" w:hAnsi="Effra" w:cs="Arial"/>
          <w:sz w:val="19"/>
          <w:szCs w:val="19"/>
        </w:rPr>
        <w:t>.</w:t>
      </w:r>
    </w:p>
    <w:p w14:paraId="2D814573" w14:textId="77777777" w:rsidR="005B3FC9" w:rsidRPr="00690CC3" w:rsidRDefault="005B3FC9" w:rsidP="005B3FC9">
      <w:pPr>
        <w:autoSpaceDE w:val="0"/>
        <w:autoSpaceDN w:val="0"/>
        <w:adjustRightInd w:val="0"/>
        <w:spacing w:after="120" w:line="280" w:lineRule="exact"/>
        <w:jc w:val="both"/>
        <w:rPr>
          <w:rFonts w:ascii="Effra" w:hAnsi="Effra" w:cs="Arial"/>
          <w:sz w:val="19"/>
          <w:szCs w:val="19"/>
        </w:rPr>
      </w:pPr>
    </w:p>
    <w:p w14:paraId="53521D53" w14:textId="77777777" w:rsidR="005B3FC9" w:rsidRPr="00690CC3" w:rsidRDefault="005B3FC9" w:rsidP="005B3FC9">
      <w:pPr>
        <w:pStyle w:val="Listeafsnit"/>
        <w:numPr>
          <w:ilvl w:val="0"/>
          <w:numId w:val="15"/>
        </w:numPr>
        <w:autoSpaceDE w:val="0"/>
        <w:autoSpaceDN w:val="0"/>
        <w:adjustRightInd w:val="0"/>
        <w:spacing w:after="120" w:line="280" w:lineRule="exact"/>
        <w:ind w:left="284" w:hanging="284"/>
        <w:jc w:val="both"/>
        <w:rPr>
          <w:rFonts w:ascii="Effra" w:hAnsi="Effra" w:cs="Arial"/>
          <w:b/>
          <w:bCs/>
          <w:sz w:val="19"/>
          <w:szCs w:val="19"/>
          <w:lang w:val="da-DK"/>
        </w:rPr>
      </w:pPr>
      <w:r w:rsidRPr="00690CC3">
        <w:rPr>
          <w:rFonts w:ascii="Effra" w:hAnsi="Effra" w:cs="Arial"/>
          <w:b/>
          <w:bCs/>
          <w:sz w:val="19"/>
          <w:szCs w:val="19"/>
          <w:lang w:val="da-DK"/>
        </w:rPr>
        <w:t xml:space="preserve">Bestyrelsens aflønning </w:t>
      </w:r>
    </w:p>
    <w:p w14:paraId="103BDD1C" w14:textId="77777777" w:rsidR="005B3FC9" w:rsidRPr="00690CC3" w:rsidRDefault="005B3FC9" w:rsidP="005B3FC9">
      <w:pPr>
        <w:autoSpaceDE w:val="0"/>
        <w:autoSpaceDN w:val="0"/>
        <w:adjustRightInd w:val="0"/>
        <w:spacing w:after="120" w:line="280" w:lineRule="exact"/>
        <w:jc w:val="both"/>
        <w:rPr>
          <w:rFonts w:ascii="Effra" w:hAnsi="Effra" w:cs="Arial"/>
          <w:sz w:val="19"/>
          <w:szCs w:val="19"/>
        </w:rPr>
      </w:pPr>
      <w:r w:rsidRPr="00690CC3">
        <w:rPr>
          <w:rFonts w:ascii="Effra" w:hAnsi="Effra" w:cs="Arial"/>
          <w:sz w:val="19"/>
          <w:szCs w:val="19"/>
        </w:rPr>
        <w:t>Vederlag til bestyrelsen fastsættes efter følgende retningslinjer:</w:t>
      </w:r>
    </w:p>
    <w:p w14:paraId="639E3A7C" w14:textId="77777777" w:rsidR="00D9015C" w:rsidRPr="00690CC3" w:rsidRDefault="005B3FC9" w:rsidP="005B3FC9">
      <w:pPr>
        <w:pStyle w:val="Listeafsnit"/>
        <w:numPr>
          <w:ilvl w:val="0"/>
          <w:numId w:val="16"/>
        </w:numPr>
        <w:autoSpaceDE w:val="0"/>
        <w:autoSpaceDN w:val="0"/>
        <w:adjustRightInd w:val="0"/>
        <w:spacing w:after="120" w:line="280" w:lineRule="exact"/>
        <w:jc w:val="both"/>
        <w:rPr>
          <w:rFonts w:ascii="Effra" w:hAnsi="Effra" w:cs="Arial"/>
          <w:sz w:val="19"/>
          <w:szCs w:val="19"/>
          <w:lang w:val="da-DK"/>
        </w:rPr>
      </w:pPr>
      <w:r w:rsidRPr="00690CC3">
        <w:rPr>
          <w:rFonts w:ascii="Effra" w:hAnsi="Effra" w:cs="Arial"/>
          <w:sz w:val="19"/>
          <w:szCs w:val="19"/>
          <w:lang w:val="da-DK"/>
        </w:rPr>
        <w:t xml:space="preserve">Bestyrelsesformanden </w:t>
      </w:r>
      <w:r w:rsidR="00740E58">
        <w:rPr>
          <w:rFonts w:ascii="Effra" w:hAnsi="Effra" w:cs="Arial"/>
          <w:sz w:val="19"/>
          <w:szCs w:val="19"/>
          <w:lang w:val="da-DK"/>
        </w:rPr>
        <w:t xml:space="preserve">og næstformanden </w:t>
      </w:r>
      <w:r w:rsidRPr="00690CC3">
        <w:rPr>
          <w:rFonts w:ascii="Effra" w:hAnsi="Effra" w:cs="Arial"/>
          <w:sz w:val="19"/>
          <w:szCs w:val="19"/>
          <w:lang w:val="da-DK"/>
        </w:rPr>
        <w:t xml:space="preserve">modtager et fast honorar, der er på niveau med sammenlignelige børsnoterede virksomheder. </w:t>
      </w:r>
    </w:p>
    <w:p w14:paraId="4836938B" w14:textId="77777777" w:rsidR="005B3FC9" w:rsidRPr="00690CC3" w:rsidRDefault="00C57ACC" w:rsidP="003179E5">
      <w:pPr>
        <w:pStyle w:val="Listeafsnit"/>
        <w:numPr>
          <w:ilvl w:val="0"/>
          <w:numId w:val="16"/>
        </w:numPr>
        <w:autoSpaceDE w:val="0"/>
        <w:autoSpaceDN w:val="0"/>
        <w:adjustRightInd w:val="0"/>
        <w:spacing w:after="120" w:line="280" w:lineRule="exact"/>
        <w:jc w:val="both"/>
        <w:rPr>
          <w:rFonts w:ascii="Effra" w:hAnsi="Effra" w:cs="Arial"/>
          <w:sz w:val="19"/>
          <w:szCs w:val="19"/>
          <w:lang w:val="da-DK"/>
        </w:rPr>
      </w:pPr>
      <w:r w:rsidRPr="00690CC3">
        <w:rPr>
          <w:rFonts w:ascii="Effra" w:hAnsi="Effra" w:cs="Arial"/>
          <w:sz w:val="19"/>
          <w:szCs w:val="19"/>
          <w:lang w:val="da-DK"/>
        </w:rPr>
        <w:t>Bestyrelses</w:t>
      </w:r>
      <w:r w:rsidR="00A36819" w:rsidRPr="00690CC3">
        <w:rPr>
          <w:rFonts w:ascii="Effra" w:hAnsi="Effra" w:cs="Arial"/>
          <w:sz w:val="19"/>
          <w:szCs w:val="19"/>
          <w:lang w:val="da-DK"/>
        </w:rPr>
        <w:t xml:space="preserve">medlemmer </w:t>
      </w:r>
      <w:r w:rsidR="00082F60" w:rsidRPr="00690CC3">
        <w:rPr>
          <w:rFonts w:ascii="Effra" w:hAnsi="Effra" w:cs="Arial"/>
          <w:sz w:val="19"/>
          <w:szCs w:val="19"/>
          <w:lang w:val="da-DK"/>
        </w:rPr>
        <w:t xml:space="preserve">modtager ikke et fast honorar, men </w:t>
      </w:r>
      <w:r w:rsidR="00A36819" w:rsidRPr="00690CC3">
        <w:rPr>
          <w:rFonts w:ascii="Effra" w:hAnsi="Effra" w:cs="Arial"/>
          <w:sz w:val="19"/>
          <w:szCs w:val="19"/>
          <w:lang w:val="da-DK"/>
        </w:rPr>
        <w:t xml:space="preserve">kan tildeles </w:t>
      </w:r>
      <w:r w:rsidR="00387D2B" w:rsidRPr="00690CC3">
        <w:rPr>
          <w:rFonts w:ascii="Effra" w:hAnsi="Effra" w:cs="Arial"/>
          <w:sz w:val="19"/>
          <w:szCs w:val="19"/>
          <w:lang w:val="da-DK"/>
        </w:rPr>
        <w:t>et ekstraordinært honorar i et eller flere regnskabsår for at honorere en ekstraordinær eller særligt påskønnet indsats for Selska</w:t>
      </w:r>
      <w:r w:rsidR="00051103" w:rsidRPr="00690CC3">
        <w:rPr>
          <w:rFonts w:ascii="Effra" w:hAnsi="Effra" w:cs="Arial"/>
          <w:sz w:val="19"/>
          <w:szCs w:val="19"/>
          <w:lang w:val="da-DK"/>
        </w:rPr>
        <w:t>bet</w:t>
      </w:r>
      <w:r w:rsidR="005B3FC9" w:rsidRPr="00690CC3">
        <w:rPr>
          <w:rFonts w:ascii="Effra" w:hAnsi="Effra" w:cs="Arial"/>
          <w:sz w:val="19"/>
          <w:szCs w:val="19"/>
          <w:lang w:val="da-DK"/>
        </w:rPr>
        <w:t xml:space="preserve">. </w:t>
      </w:r>
    </w:p>
    <w:p w14:paraId="70C715EF" w14:textId="77777777" w:rsidR="0097160E" w:rsidRDefault="0097160E" w:rsidP="005B3FC9">
      <w:pPr>
        <w:autoSpaceDE w:val="0"/>
        <w:autoSpaceDN w:val="0"/>
        <w:adjustRightInd w:val="0"/>
        <w:spacing w:after="120" w:line="280" w:lineRule="exact"/>
        <w:jc w:val="both"/>
        <w:rPr>
          <w:rFonts w:ascii="Effra" w:hAnsi="Effra" w:cs="Arial"/>
          <w:sz w:val="19"/>
          <w:szCs w:val="19"/>
        </w:rPr>
      </w:pPr>
      <w:r w:rsidRPr="00690CC3">
        <w:rPr>
          <w:rFonts w:ascii="Effra" w:hAnsi="Effra" w:cs="Arial"/>
          <w:sz w:val="19"/>
          <w:szCs w:val="19"/>
        </w:rPr>
        <w:t>Den faste a</w:t>
      </w:r>
      <w:r w:rsidR="00A36819" w:rsidRPr="00690CC3">
        <w:rPr>
          <w:rFonts w:ascii="Effra" w:hAnsi="Effra" w:cs="Arial"/>
          <w:sz w:val="19"/>
          <w:szCs w:val="19"/>
        </w:rPr>
        <w:t xml:space="preserve">flønning af </w:t>
      </w:r>
      <w:r w:rsidR="00FC09FC" w:rsidRPr="00690CC3">
        <w:rPr>
          <w:rFonts w:ascii="Effra" w:hAnsi="Effra" w:cs="Arial"/>
          <w:sz w:val="19"/>
          <w:szCs w:val="19"/>
        </w:rPr>
        <w:t>b</w:t>
      </w:r>
      <w:r w:rsidR="00A36819" w:rsidRPr="00690CC3">
        <w:rPr>
          <w:rFonts w:ascii="Effra" w:hAnsi="Effra" w:cs="Arial"/>
          <w:sz w:val="19"/>
          <w:szCs w:val="19"/>
        </w:rPr>
        <w:t>estyrelsesformanden</w:t>
      </w:r>
      <w:r w:rsidRPr="00690CC3">
        <w:rPr>
          <w:rFonts w:ascii="Effra" w:hAnsi="Effra" w:cs="Arial"/>
          <w:sz w:val="19"/>
          <w:szCs w:val="19"/>
        </w:rPr>
        <w:t xml:space="preserve"> </w:t>
      </w:r>
      <w:r w:rsidR="0012179A">
        <w:rPr>
          <w:rFonts w:ascii="Effra" w:hAnsi="Effra" w:cs="Arial"/>
          <w:sz w:val="19"/>
          <w:szCs w:val="19"/>
        </w:rPr>
        <w:t xml:space="preserve">og næstformanden </w:t>
      </w:r>
      <w:r w:rsidRPr="00690CC3">
        <w:rPr>
          <w:rFonts w:ascii="Effra" w:hAnsi="Effra" w:cs="Arial"/>
          <w:sz w:val="19"/>
          <w:szCs w:val="19"/>
        </w:rPr>
        <w:t>skal sikre, at Selskabet kan tiltrække og fastholde kvalificerede bestyrelsesmedlemmer.</w:t>
      </w:r>
    </w:p>
    <w:p w14:paraId="68421AAC" w14:textId="337023D9" w:rsidR="00155C8C" w:rsidRPr="00690CC3" w:rsidRDefault="00952395" w:rsidP="005B3FC9">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På baggrund af formanden og næstformandens indsats foretage</w:t>
      </w:r>
      <w:r w:rsidR="00F13F67">
        <w:rPr>
          <w:rFonts w:ascii="Effra" w:hAnsi="Effra" w:cs="Arial"/>
          <w:sz w:val="19"/>
          <w:szCs w:val="19"/>
        </w:rPr>
        <w:t>r</w:t>
      </w:r>
      <w:r>
        <w:rPr>
          <w:rFonts w:ascii="Effra" w:hAnsi="Effra" w:cs="Arial"/>
          <w:sz w:val="19"/>
          <w:szCs w:val="19"/>
        </w:rPr>
        <w:t xml:space="preserve"> b</w:t>
      </w:r>
      <w:r w:rsidR="005B3FC9" w:rsidRPr="00690CC3">
        <w:rPr>
          <w:rFonts w:ascii="Effra" w:hAnsi="Effra" w:cs="Arial"/>
          <w:sz w:val="19"/>
          <w:szCs w:val="19"/>
        </w:rPr>
        <w:t>estyrelsen årligt en vurdering af honorare</w:t>
      </w:r>
      <w:r>
        <w:rPr>
          <w:rFonts w:ascii="Effra" w:hAnsi="Effra" w:cs="Arial"/>
          <w:sz w:val="19"/>
          <w:szCs w:val="19"/>
        </w:rPr>
        <w:t>rnes</w:t>
      </w:r>
      <w:r w:rsidR="005B3FC9" w:rsidRPr="00690CC3">
        <w:rPr>
          <w:rFonts w:ascii="Effra" w:hAnsi="Effra" w:cs="Arial"/>
          <w:sz w:val="19"/>
          <w:szCs w:val="19"/>
        </w:rPr>
        <w:t xml:space="preserve"> størrelse, hvorefter d</w:t>
      </w:r>
      <w:r>
        <w:rPr>
          <w:rFonts w:ascii="Effra" w:hAnsi="Effra" w:cs="Arial"/>
          <w:sz w:val="19"/>
          <w:szCs w:val="19"/>
        </w:rPr>
        <w:t>isse</w:t>
      </w:r>
      <w:r w:rsidR="005B3FC9" w:rsidRPr="00690CC3">
        <w:rPr>
          <w:rFonts w:ascii="Effra" w:hAnsi="Effra" w:cs="Arial"/>
          <w:sz w:val="19"/>
          <w:szCs w:val="19"/>
        </w:rPr>
        <w:t xml:space="preserve"> indstilles til godkendelse på den ordinære generalforsamling for den kommende</w:t>
      </w:r>
      <w:r w:rsidR="00F13F67">
        <w:rPr>
          <w:rFonts w:ascii="Effra" w:hAnsi="Effra" w:cs="Arial"/>
          <w:sz w:val="19"/>
          <w:szCs w:val="19"/>
        </w:rPr>
        <w:t xml:space="preserve"> </w:t>
      </w:r>
      <w:r w:rsidR="005B3FC9" w:rsidRPr="00690CC3">
        <w:rPr>
          <w:rFonts w:ascii="Effra" w:hAnsi="Effra" w:cs="Arial"/>
          <w:sz w:val="19"/>
          <w:szCs w:val="19"/>
        </w:rPr>
        <w:t>valgperiode.</w:t>
      </w:r>
    </w:p>
    <w:p w14:paraId="43C5E2A4" w14:textId="09EC68FA" w:rsidR="00387D2B" w:rsidRPr="00690CC3" w:rsidRDefault="00387D2B" w:rsidP="00A36819">
      <w:pPr>
        <w:autoSpaceDE w:val="0"/>
        <w:autoSpaceDN w:val="0"/>
        <w:adjustRightInd w:val="0"/>
        <w:spacing w:after="120" w:line="280" w:lineRule="exact"/>
        <w:jc w:val="both"/>
        <w:rPr>
          <w:rFonts w:ascii="Effra" w:hAnsi="Effra" w:cs="Arial"/>
          <w:sz w:val="19"/>
          <w:szCs w:val="19"/>
        </w:rPr>
      </w:pPr>
      <w:r w:rsidRPr="00690CC3">
        <w:rPr>
          <w:rFonts w:ascii="Effra" w:hAnsi="Effra" w:cs="Arial"/>
          <w:sz w:val="19"/>
          <w:szCs w:val="19"/>
        </w:rPr>
        <w:lastRenderedPageBreak/>
        <w:t>Bestyrelsesmedlemmer kan tildeles</w:t>
      </w:r>
      <w:r w:rsidR="00D6789E" w:rsidRPr="00690CC3">
        <w:rPr>
          <w:rFonts w:ascii="Effra" w:hAnsi="Effra" w:cs="Arial"/>
          <w:sz w:val="19"/>
          <w:szCs w:val="19"/>
        </w:rPr>
        <w:t xml:space="preserve"> et</w:t>
      </w:r>
      <w:r w:rsidRPr="00690CC3">
        <w:rPr>
          <w:rFonts w:ascii="Effra" w:hAnsi="Effra" w:cs="Arial"/>
          <w:sz w:val="19"/>
          <w:szCs w:val="19"/>
        </w:rPr>
        <w:t xml:space="preserve"> engangsvederlag </w:t>
      </w:r>
      <w:r w:rsidR="009D1C13" w:rsidRPr="00690CC3">
        <w:rPr>
          <w:rFonts w:ascii="Effra" w:hAnsi="Effra" w:cs="Arial"/>
          <w:sz w:val="19"/>
          <w:szCs w:val="19"/>
        </w:rPr>
        <w:t xml:space="preserve">efter godkendelse fra generalforsamlingen. </w:t>
      </w:r>
      <w:r w:rsidR="00D6789E" w:rsidRPr="00690CC3">
        <w:rPr>
          <w:rFonts w:ascii="Effra" w:hAnsi="Effra" w:cs="Arial"/>
          <w:sz w:val="19"/>
          <w:szCs w:val="19"/>
        </w:rPr>
        <w:t>Vederlagsudvalget</w:t>
      </w:r>
      <w:r w:rsidR="00DA5C88" w:rsidRPr="00690CC3">
        <w:rPr>
          <w:rFonts w:ascii="Effra" w:hAnsi="Effra" w:cs="Arial"/>
          <w:sz w:val="19"/>
          <w:szCs w:val="19"/>
        </w:rPr>
        <w:t xml:space="preserve"> redegør for årsagerne og indstiller forslaget om tildeling </w:t>
      </w:r>
      <w:r w:rsidR="009D1C13" w:rsidRPr="00690CC3">
        <w:rPr>
          <w:rFonts w:ascii="Effra" w:hAnsi="Effra" w:cs="Arial"/>
          <w:sz w:val="19"/>
          <w:szCs w:val="19"/>
        </w:rPr>
        <w:t>til generalforsamlingen</w:t>
      </w:r>
      <w:r w:rsidR="00DA5C88" w:rsidRPr="00690CC3">
        <w:rPr>
          <w:rFonts w:ascii="Effra" w:hAnsi="Effra" w:cs="Arial"/>
          <w:sz w:val="19"/>
          <w:szCs w:val="19"/>
        </w:rPr>
        <w:t xml:space="preserve">s godkendelse. </w:t>
      </w:r>
      <w:r w:rsidR="00493CE4" w:rsidRPr="00493CE4">
        <w:rPr>
          <w:rFonts w:ascii="Effra" w:hAnsi="Effra" w:cs="Arial"/>
          <w:sz w:val="19"/>
          <w:szCs w:val="19"/>
        </w:rPr>
        <w:t>Bestyrelsens endelige årlige honorar oplyses i årsrapporten.</w:t>
      </w:r>
    </w:p>
    <w:p w14:paraId="19949548" w14:textId="3DAE24FE" w:rsidR="005D01C3" w:rsidRPr="00690CC3" w:rsidRDefault="00D9015C" w:rsidP="00A36819">
      <w:pPr>
        <w:autoSpaceDE w:val="0"/>
        <w:autoSpaceDN w:val="0"/>
        <w:adjustRightInd w:val="0"/>
        <w:spacing w:after="120" w:line="280" w:lineRule="exact"/>
        <w:jc w:val="both"/>
        <w:rPr>
          <w:rFonts w:ascii="Effra" w:hAnsi="Effra" w:cs="Arial"/>
          <w:sz w:val="19"/>
          <w:szCs w:val="19"/>
        </w:rPr>
      </w:pPr>
      <w:r w:rsidRPr="00D9015C">
        <w:rPr>
          <w:rFonts w:ascii="Effra" w:hAnsi="Effra" w:cs="Arial"/>
          <w:sz w:val="19"/>
          <w:szCs w:val="19"/>
        </w:rPr>
        <w:t xml:space="preserve">Tildeling af ekstraordinært honorar til menige bestyrelsesmedlemmer er den eneste form for aflønning for bestyrelsesarbejdet. </w:t>
      </w:r>
    </w:p>
    <w:p w14:paraId="742FAD9D" w14:textId="77777777" w:rsidR="00A36819" w:rsidRPr="00690CC3" w:rsidRDefault="00A36819" w:rsidP="00A36819">
      <w:pPr>
        <w:autoSpaceDE w:val="0"/>
        <w:autoSpaceDN w:val="0"/>
        <w:adjustRightInd w:val="0"/>
        <w:spacing w:after="120" w:line="280" w:lineRule="exact"/>
        <w:jc w:val="both"/>
        <w:rPr>
          <w:rFonts w:ascii="Effra" w:hAnsi="Effra" w:cs="Arial"/>
          <w:sz w:val="19"/>
          <w:szCs w:val="19"/>
        </w:rPr>
      </w:pPr>
      <w:r w:rsidRPr="00690CC3">
        <w:rPr>
          <w:rFonts w:ascii="Effra" w:hAnsi="Effra" w:cs="Arial"/>
          <w:sz w:val="19"/>
          <w:szCs w:val="19"/>
        </w:rPr>
        <w:t xml:space="preserve">Det er væsentligt, at </w:t>
      </w:r>
      <w:r w:rsidR="00B16F74" w:rsidRPr="00690CC3">
        <w:rPr>
          <w:rFonts w:ascii="Effra" w:hAnsi="Effra" w:cs="Arial"/>
          <w:sz w:val="19"/>
          <w:szCs w:val="19"/>
        </w:rPr>
        <w:t xml:space="preserve">tildelingen af </w:t>
      </w:r>
      <w:r w:rsidR="0045568E" w:rsidRPr="00690CC3">
        <w:rPr>
          <w:rFonts w:ascii="Effra" w:hAnsi="Effra" w:cs="Arial"/>
          <w:sz w:val="19"/>
          <w:szCs w:val="19"/>
        </w:rPr>
        <w:t>ekstraordinær</w:t>
      </w:r>
      <w:r w:rsidR="00455A44" w:rsidRPr="00690CC3">
        <w:rPr>
          <w:rFonts w:ascii="Effra" w:hAnsi="Effra" w:cs="Arial"/>
          <w:sz w:val="19"/>
          <w:szCs w:val="19"/>
        </w:rPr>
        <w:t>t</w:t>
      </w:r>
      <w:r w:rsidR="0045568E" w:rsidRPr="00690CC3">
        <w:rPr>
          <w:rFonts w:ascii="Effra" w:hAnsi="Effra" w:cs="Arial"/>
          <w:sz w:val="19"/>
          <w:szCs w:val="19"/>
        </w:rPr>
        <w:t xml:space="preserve"> </w:t>
      </w:r>
      <w:r w:rsidR="00455A44" w:rsidRPr="00690CC3">
        <w:rPr>
          <w:rFonts w:ascii="Effra" w:hAnsi="Effra" w:cs="Arial"/>
          <w:sz w:val="19"/>
          <w:szCs w:val="19"/>
        </w:rPr>
        <w:t xml:space="preserve">honorar </w:t>
      </w:r>
      <w:r w:rsidR="00B16F74" w:rsidRPr="00690CC3">
        <w:rPr>
          <w:rFonts w:ascii="Effra" w:hAnsi="Effra" w:cs="Arial"/>
          <w:sz w:val="19"/>
          <w:szCs w:val="19"/>
        </w:rPr>
        <w:t xml:space="preserve">til menige bestyrelsesmedlemmer </w:t>
      </w:r>
      <w:r w:rsidRPr="00690CC3">
        <w:rPr>
          <w:rFonts w:ascii="Effra" w:hAnsi="Effra" w:cs="Arial"/>
          <w:sz w:val="19"/>
          <w:szCs w:val="19"/>
        </w:rPr>
        <w:t xml:space="preserve">skal være relateret til afgørende værdiskabende forhold for Selskabet, herunder Selskabets økonomiske resultater. </w:t>
      </w:r>
    </w:p>
    <w:p w14:paraId="642464A8" w14:textId="77777777" w:rsidR="0045568E" w:rsidRDefault="00B16F74" w:rsidP="00A36819">
      <w:pPr>
        <w:autoSpaceDE w:val="0"/>
        <w:autoSpaceDN w:val="0"/>
        <w:adjustRightInd w:val="0"/>
        <w:spacing w:after="120" w:line="280" w:lineRule="exact"/>
        <w:jc w:val="both"/>
        <w:rPr>
          <w:rFonts w:ascii="Effra" w:hAnsi="Effra" w:cs="Arial"/>
          <w:sz w:val="19"/>
          <w:szCs w:val="19"/>
        </w:rPr>
      </w:pPr>
      <w:r w:rsidRPr="00690CC3">
        <w:rPr>
          <w:rFonts w:ascii="Effra" w:hAnsi="Effra" w:cs="Arial"/>
          <w:sz w:val="19"/>
          <w:szCs w:val="19"/>
        </w:rPr>
        <w:t xml:space="preserve">Muligheden for </w:t>
      </w:r>
      <w:r w:rsidR="00455A44" w:rsidRPr="00690CC3">
        <w:rPr>
          <w:rFonts w:ascii="Effra" w:hAnsi="Effra" w:cs="Arial"/>
          <w:sz w:val="19"/>
          <w:szCs w:val="19"/>
        </w:rPr>
        <w:t xml:space="preserve">tildeling af </w:t>
      </w:r>
      <w:r w:rsidR="00BA0B7C" w:rsidRPr="00690CC3">
        <w:rPr>
          <w:rFonts w:ascii="Effra" w:hAnsi="Effra" w:cs="Arial"/>
          <w:sz w:val="19"/>
          <w:szCs w:val="19"/>
        </w:rPr>
        <w:t>ekstraordinær</w:t>
      </w:r>
      <w:r w:rsidR="00455A44" w:rsidRPr="00690CC3">
        <w:rPr>
          <w:rFonts w:ascii="Effra" w:hAnsi="Effra" w:cs="Arial"/>
          <w:sz w:val="19"/>
          <w:szCs w:val="19"/>
        </w:rPr>
        <w:t>t</w:t>
      </w:r>
      <w:r w:rsidR="00BA0B7C" w:rsidRPr="00690CC3">
        <w:rPr>
          <w:rFonts w:ascii="Effra" w:hAnsi="Effra" w:cs="Arial"/>
          <w:sz w:val="19"/>
          <w:szCs w:val="19"/>
        </w:rPr>
        <w:t xml:space="preserve"> honor</w:t>
      </w:r>
      <w:r w:rsidR="00455A44" w:rsidRPr="00690CC3">
        <w:rPr>
          <w:rFonts w:ascii="Effra" w:hAnsi="Effra" w:cs="Arial"/>
          <w:sz w:val="19"/>
          <w:szCs w:val="19"/>
        </w:rPr>
        <w:t>a</w:t>
      </w:r>
      <w:r w:rsidR="00BA0B7C" w:rsidRPr="00690CC3">
        <w:rPr>
          <w:rFonts w:ascii="Effra" w:hAnsi="Effra" w:cs="Arial"/>
          <w:sz w:val="19"/>
          <w:szCs w:val="19"/>
        </w:rPr>
        <w:t xml:space="preserve">r </w:t>
      </w:r>
      <w:r w:rsidR="00455A44" w:rsidRPr="00690CC3">
        <w:rPr>
          <w:rFonts w:ascii="Effra" w:hAnsi="Effra" w:cs="Arial"/>
          <w:sz w:val="19"/>
          <w:szCs w:val="19"/>
        </w:rPr>
        <w:t>til</w:t>
      </w:r>
      <w:r w:rsidR="00BA0B7C" w:rsidRPr="00690CC3">
        <w:rPr>
          <w:rFonts w:ascii="Effra" w:hAnsi="Effra" w:cs="Arial"/>
          <w:sz w:val="19"/>
          <w:szCs w:val="19"/>
        </w:rPr>
        <w:t xml:space="preserve"> </w:t>
      </w:r>
      <w:r w:rsidR="00FC09FC" w:rsidRPr="00690CC3">
        <w:rPr>
          <w:rFonts w:ascii="Effra" w:hAnsi="Effra" w:cs="Arial"/>
          <w:sz w:val="19"/>
          <w:szCs w:val="19"/>
        </w:rPr>
        <w:t>b</w:t>
      </w:r>
      <w:r w:rsidR="00A36819" w:rsidRPr="00690CC3">
        <w:rPr>
          <w:rFonts w:ascii="Effra" w:hAnsi="Effra" w:cs="Arial"/>
          <w:sz w:val="19"/>
          <w:szCs w:val="19"/>
        </w:rPr>
        <w:t>estyrelse</w:t>
      </w:r>
      <w:r w:rsidRPr="00690CC3">
        <w:rPr>
          <w:rFonts w:ascii="Effra" w:hAnsi="Effra" w:cs="Arial"/>
          <w:sz w:val="19"/>
          <w:szCs w:val="19"/>
        </w:rPr>
        <w:t>smedlemmer</w:t>
      </w:r>
      <w:r w:rsidR="00A36819" w:rsidRPr="00690CC3">
        <w:rPr>
          <w:rFonts w:ascii="Effra" w:hAnsi="Effra" w:cs="Arial"/>
          <w:sz w:val="19"/>
          <w:szCs w:val="19"/>
        </w:rPr>
        <w:t xml:space="preserve"> </w:t>
      </w:r>
      <w:r w:rsidR="00455A44" w:rsidRPr="00690CC3">
        <w:rPr>
          <w:rFonts w:ascii="Effra" w:hAnsi="Effra" w:cs="Arial"/>
          <w:sz w:val="19"/>
          <w:szCs w:val="19"/>
        </w:rPr>
        <w:t>skal</w:t>
      </w:r>
      <w:r w:rsidR="00A36819" w:rsidRPr="00690CC3">
        <w:rPr>
          <w:rFonts w:ascii="Effra" w:hAnsi="Effra" w:cs="Arial"/>
          <w:sz w:val="19"/>
          <w:szCs w:val="19"/>
        </w:rPr>
        <w:t xml:space="preserve"> sikre et passende sammenfald mellem ledelsens og aktionærernes interesser og skal medvirke til at fremme værdiskabelsen i Selskabet og understøtte Selskabets kort- og langsigtede strategi og målsætninger.</w:t>
      </w:r>
    </w:p>
    <w:p w14:paraId="3A344D0F" w14:textId="77777777" w:rsidR="00A36819" w:rsidRPr="00690CC3" w:rsidRDefault="0045568E" w:rsidP="00A36819">
      <w:pPr>
        <w:autoSpaceDE w:val="0"/>
        <w:autoSpaceDN w:val="0"/>
        <w:adjustRightInd w:val="0"/>
        <w:spacing w:after="120" w:line="280" w:lineRule="exact"/>
        <w:jc w:val="both"/>
        <w:rPr>
          <w:rFonts w:ascii="Effra" w:hAnsi="Effra" w:cs="Arial"/>
          <w:sz w:val="19"/>
          <w:szCs w:val="19"/>
        </w:rPr>
      </w:pPr>
      <w:r w:rsidRPr="00690CC3">
        <w:rPr>
          <w:rFonts w:ascii="Effra" w:hAnsi="Effra" w:cs="Arial"/>
          <w:sz w:val="19"/>
          <w:szCs w:val="19"/>
        </w:rPr>
        <w:t>Selskabet kan</w:t>
      </w:r>
      <w:r w:rsidR="00FB3C84" w:rsidRPr="00690CC3">
        <w:rPr>
          <w:rFonts w:ascii="Effra" w:hAnsi="Effra" w:cs="Arial"/>
          <w:sz w:val="19"/>
          <w:szCs w:val="19"/>
        </w:rPr>
        <w:t xml:space="preserve"> herudover</w:t>
      </w:r>
      <w:r w:rsidRPr="00690CC3">
        <w:rPr>
          <w:rFonts w:ascii="Effra" w:hAnsi="Effra" w:cs="Arial"/>
          <w:sz w:val="19"/>
          <w:szCs w:val="19"/>
        </w:rPr>
        <w:t xml:space="preserve"> tildele et bestyrelsesmedlem vederlag for arbejde, der i sin natur ligger uden for bestyrelsesarbejdet.</w:t>
      </w:r>
      <w:r w:rsidR="00A36819" w:rsidRPr="00690CC3">
        <w:rPr>
          <w:rFonts w:ascii="Effra" w:hAnsi="Effra" w:cs="Arial"/>
          <w:sz w:val="19"/>
          <w:szCs w:val="19"/>
        </w:rPr>
        <w:t xml:space="preserve"> </w:t>
      </w:r>
    </w:p>
    <w:p w14:paraId="037D148A" w14:textId="77777777" w:rsidR="00A36819" w:rsidRPr="00690CC3" w:rsidRDefault="00D6789E" w:rsidP="00A36819">
      <w:pPr>
        <w:autoSpaceDE w:val="0"/>
        <w:autoSpaceDN w:val="0"/>
        <w:adjustRightInd w:val="0"/>
        <w:spacing w:after="120" w:line="280" w:lineRule="exact"/>
        <w:jc w:val="both"/>
        <w:rPr>
          <w:rFonts w:ascii="Effra" w:hAnsi="Effra" w:cs="Arial"/>
          <w:sz w:val="19"/>
          <w:szCs w:val="19"/>
        </w:rPr>
      </w:pPr>
      <w:r w:rsidRPr="00690CC3">
        <w:rPr>
          <w:rFonts w:ascii="Effra" w:hAnsi="Effra" w:cs="Arial"/>
          <w:sz w:val="19"/>
          <w:szCs w:val="19"/>
        </w:rPr>
        <w:t>Selskabet skal i forbindelse med tildeling af ekstraordinært honorar forbeholde sig retten til at kræve hel- eller delvis tilbagebetaling, hvis tildelingen sker på baggrund af oplysninger, der efterfølgende viser sig at være fejlagtige.</w:t>
      </w:r>
    </w:p>
    <w:p w14:paraId="7089AEAC" w14:textId="77777777" w:rsidR="00AF332F" w:rsidRPr="00690CC3" w:rsidRDefault="00AF332F" w:rsidP="00A36819">
      <w:pPr>
        <w:autoSpaceDE w:val="0"/>
        <w:autoSpaceDN w:val="0"/>
        <w:adjustRightInd w:val="0"/>
        <w:spacing w:after="120" w:line="280" w:lineRule="exact"/>
        <w:jc w:val="both"/>
        <w:rPr>
          <w:rFonts w:ascii="Effra" w:hAnsi="Effra" w:cs="Arial"/>
          <w:sz w:val="19"/>
          <w:szCs w:val="19"/>
        </w:rPr>
      </w:pPr>
    </w:p>
    <w:p w14:paraId="6CFEF3B1" w14:textId="77777777" w:rsidR="005B3FC9" w:rsidRPr="00690CC3" w:rsidRDefault="005B3FC9" w:rsidP="005B3FC9">
      <w:pPr>
        <w:pStyle w:val="Listeafsnit"/>
        <w:numPr>
          <w:ilvl w:val="0"/>
          <w:numId w:val="15"/>
        </w:numPr>
        <w:autoSpaceDE w:val="0"/>
        <w:autoSpaceDN w:val="0"/>
        <w:adjustRightInd w:val="0"/>
        <w:spacing w:after="120" w:line="280" w:lineRule="exact"/>
        <w:ind w:left="284" w:hanging="284"/>
        <w:jc w:val="both"/>
        <w:rPr>
          <w:rFonts w:ascii="Effra" w:hAnsi="Effra" w:cs="Arial"/>
          <w:b/>
          <w:bCs/>
          <w:sz w:val="19"/>
          <w:szCs w:val="19"/>
          <w:lang w:val="da-DK"/>
        </w:rPr>
      </w:pPr>
      <w:r w:rsidRPr="00690CC3">
        <w:rPr>
          <w:rFonts w:ascii="Effra" w:hAnsi="Effra" w:cs="Arial"/>
          <w:b/>
          <w:bCs/>
          <w:sz w:val="19"/>
          <w:szCs w:val="19"/>
          <w:lang w:val="da-DK"/>
        </w:rPr>
        <w:t xml:space="preserve">Direktionens aflønning </w:t>
      </w:r>
    </w:p>
    <w:p w14:paraId="0BD7CD35" w14:textId="77777777" w:rsidR="005B3FC9" w:rsidRPr="00DA2E95" w:rsidRDefault="005B3FC9"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 xml:space="preserve">Direktionens medlemmer aflønnes med en fast grundløn, eventuel pension, sædvanlige personalegoder samt kort- og langsigtet incitamentsaflønning. Ved fastsættelsen af den samlede aflønning af direktionen skal bestyrelsen tage hensyn til Selskabets status og finansielle situation både på kort og mellemlangt sigt, den enkelte direktørs kompetencer og arbejdsindsats, opgavernes omfang og karakter samt Selskabets interesse i at kunne tiltrække og fastholde en kvalificeret direktion. </w:t>
      </w:r>
    </w:p>
    <w:p w14:paraId="70E82020" w14:textId="77777777" w:rsidR="005B3FC9" w:rsidRPr="00DA2E95" w:rsidRDefault="005B3FC9" w:rsidP="005B3FC9">
      <w:pPr>
        <w:autoSpaceDE w:val="0"/>
        <w:autoSpaceDN w:val="0"/>
        <w:adjustRightInd w:val="0"/>
        <w:spacing w:after="120" w:line="280" w:lineRule="exact"/>
        <w:jc w:val="both"/>
        <w:rPr>
          <w:rFonts w:ascii="Effra" w:hAnsi="Effra" w:cs="Arial"/>
          <w:sz w:val="19"/>
          <w:szCs w:val="19"/>
        </w:rPr>
      </w:pPr>
    </w:p>
    <w:p w14:paraId="14255C78" w14:textId="77777777" w:rsidR="005B3FC9" w:rsidRPr="00DA2E95" w:rsidRDefault="005B3FC9" w:rsidP="005B3FC9">
      <w:pPr>
        <w:autoSpaceDE w:val="0"/>
        <w:autoSpaceDN w:val="0"/>
        <w:adjustRightInd w:val="0"/>
        <w:spacing w:after="120" w:line="280" w:lineRule="exact"/>
        <w:jc w:val="both"/>
        <w:rPr>
          <w:rFonts w:ascii="Effra" w:hAnsi="Effra" w:cs="Arial"/>
          <w:i/>
          <w:sz w:val="19"/>
          <w:szCs w:val="19"/>
        </w:rPr>
      </w:pPr>
      <w:r w:rsidRPr="00DA2E95">
        <w:rPr>
          <w:rFonts w:ascii="Effra" w:hAnsi="Effra" w:cs="Arial"/>
          <w:i/>
          <w:sz w:val="19"/>
          <w:szCs w:val="19"/>
        </w:rPr>
        <w:t xml:space="preserve">4.1 Fast løn, pension og goder </w:t>
      </w:r>
    </w:p>
    <w:p w14:paraId="78593059" w14:textId="77777777" w:rsidR="005B3FC9" w:rsidRPr="00DA2E95" w:rsidRDefault="005B3FC9"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 xml:space="preserve">Direktionens faste grundløn fastsættes efter individuel forhandling med bestyrelsen hvert år. En eventuel pensionsordning skal være en del af Selskabets generelle pensionsordning. </w:t>
      </w:r>
    </w:p>
    <w:p w14:paraId="10A0AE7C" w14:textId="77777777" w:rsidR="005B3FC9" w:rsidRPr="00DA2E95" w:rsidRDefault="005B3FC9"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 xml:space="preserve">Direktionens medlemmer kan endvidere tildeles sædvanlige personalegoder, f.eks. firmabil, forsikring, avis, fri telefon og internetadgang. </w:t>
      </w:r>
    </w:p>
    <w:p w14:paraId="1D958C48" w14:textId="547CCE3B" w:rsidR="005B3FC9" w:rsidRPr="00DA2E95" w:rsidRDefault="005B3FC9"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I tilfælde af direktørens død kan Selskabet udbetale et beløb</w:t>
      </w:r>
      <w:r w:rsidR="006A0F1C">
        <w:rPr>
          <w:rFonts w:ascii="Effra" w:hAnsi="Effra" w:cs="Arial"/>
          <w:sz w:val="19"/>
          <w:szCs w:val="19"/>
        </w:rPr>
        <w:t xml:space="preserve"> på op til 4 måneders løn</w:t>
      </w:r>
      <w:r w:rsidRPr="00DA2E95">
        <w:rPr>
          <w:rFonts w:ascii="Effra" w:hAnsi="Effra" w:cs="Arial"/>
          <w:sz w:val="19"/>
          <w:szCs w:val="19"/>
        </w:rPr>
        <w:t xml:space="preserve"> til direktørens efterladte. </w:t>
      </w:r>
    </w:p>
    <w:p w14:paraId="0D33671F" w14:textId="77777777" w:rsidR="0097160E" w:rsidRPr="00DA2E95" w:rsidRDefault="0097160E"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Den faste aflønning af direktionsmedlemmer skal sikre, at Selskabet kan tiltrække og fastholde kvalificerede direktionsmedlemmer</w:t>
      </w:r>
      <w:r w:rsidR="00593DEE">
        <w:rPr>
          <w:rFonts w:ascii="Effra" w:hAnsi="Effra" w:cs="Arial"/>
          <w:sz w:val="19"/>
          <w:szCs w:val="19"/>
        </w:rPr>
        <w:t xml:space="preserve"> og sikre, at S</w:t>
      </w:r>
      <w:r w:rsidR="004131D7" w:rsidRPr="00DA2E95">
        <w:rPr>
          <w:rFonts w:ascii="Effra" w:hAnsi="Effra" w:cs="Arial"/>
          <w:sz w:val="19"/>
          <w:szCs w:val="19"/>
        </w:rPr>
        <w:t>elskabets direktører ikke er afhængige af eventuelle variable løndele</w:t>
      </w:r>
      <w:r w:rsidRPr="00DA2E95">
        <w:rPr>
          <w:rFonts w:ascii="Effra" w:hAnsi="Effra" w:cs="Arial"/>
          <w:sz w:val="19"/>
          <w:szCs w:val="19"/>
        </w:rPr>
        <w:t>.</w:t>
      </w:r>
    </w:p>
    <w:p w14:paraId="0807D640" w14:textId="77777777" w:rsidR="0097160E" w:rsidRPr="00DA2E95" w:rsidRDefault="0097160E" w:rsidP="005B3FC9">
      <w:pPr>
        <w:autoSpaceDE w:val="0"/>
        <w:autoSpaceDN w:val="0"/>
        <w:adjustRightInd w:val="0"/>
        <w:spacing w:after="120" w:line="280" w:lineRule="exact"/>
        <w:jc w:val="both"/>
        <w:rPr>
          <w:rFonts w:ascii="Effra" w:hAnsi="Effra" w:cs="Arial"/>
          <w:sz w:val="19"/>
          <w:szCs w:val="19"/>
        </w:rPr>
      </w:pPr>
    </w:p>
    <w:p w14:paraId="2FB2FB64" w14:textId="77777777" w:rsidR="005B3FC9" w:rsidRPr="00DA2E95" w:rsidRDefault="005B3FC9" w:rsidP="005B3FC9">
      <w:pPr>
        <w:autoSpaceDE w:val="0"/>
        <w:autoSpaceDN w:val="0"/>
        <w:adjustRightInd w:val="0"/>
        <w:spacing w:after="120" w:line="280" w:lineRule="exact"/>
        <w:jc w:val="both"/>
        <w:rPr>
          <w:rFonts w:ascii="Effra" w:hAnsi="Effra" w:cs="Arial"/>
          <w:i/>
          <w:sz w:val="19"/>
          <w:szCs w:val="19"/>
        </w:rPr>
      </w:pPr>
      <w:r w:rsidRPr="00DA2E95">
        <w:rPr>
          <w:rFonts w:ascii="Effra" w:hAnsi="Effra" w:cs="Arial"/>
          <w:i/>
          <w:sz w:val="19"/>
          <w:szCs w:val="19"/>
        </w:rPr>
        <w:t xml:space="preserve">4.2 Incitamentsaflønning </w:t>
      </w:r>
    </w:p>
    <w:p w14:paraId="0062F044" w14:textId="57B40B64" w:rsidR="00EC37E0" w:rsidRDefault="00216A77" w:rsidP="00EC37E0">
      <w:pPr>
        <w:autoSpaceDE w:val="0"/>
        <w:autoSpaceDN w:val="0"/>
        <w:adjustRightInd w:val="0"/>
        <w:spacing w:after="120" w:line="280" w:lineRule="exact"/>
        <w:jc w:val="both"/>
        <w:rPr>
          <w:rFonts w:ascii="Effra" w:hAnsi="Effra" w:cs="Arial"/>
          <w:sz w:val="19"/>
          <w:szCs w:val="19"/>
        </w:rPr>
      </w:pPr>
      <w:r w:rsidRPr="00216A77">
        <w:rPr>
          <w:rFonts w:ascii="Effra" w:hAnsi="Effra" w:cs="Arial"/>
          <w:sz w:val="19"/>
          <w:szCs w:val="19"/>
        </w:rPr>
        <w:t xml:space="preserve">Formålet med incitamentsprogrammer er at fremme værdiskabelsen i </w:t>
      </w:r>
      <w:r w:rsidR="00CB3EDF">
        <w:rPr>
          <w:rFonts w:ascii="Effra" w:hAnsi="Effra" w:cs="Arial"/>
          <w:sz w:val="19"/>
          <w:szCs w:val="19"/>
        </w:rPr>
        <w:t>S</w:t>
      </w:r>
      <w:r w:rsidRPr="00216A77">
        <w:rPr>
          <w:rFonts w:ascii="Effra" w:hAnsi="Effra" w:cs="Arial"/>
          <w:sz w:val="19"/>
          <w:szCs w:val="19"/>
        </w:rPr>
        <w:t xml:space="preserve">elskabet ved en realisering af </w:t>
      </w:r>
      <w:r w:rsidR="00F13F67">
        <w:rPr>
          <w:rFonts w:ascii="Effra" w:hAnsi="Effra" w:cs="Arial"/>
          <w:sz w:val="19"/>
          <w:szCs w:val="19"/>
        </w:rPr>
        <w:t>S</w:t>
      </w:r>
      <w:r w:rsidRPr="00216A77">
        <w:rPr>
          <w:rFonts w:ascii="Effra" w:hAnsi="Effra" w:cs="Arial"/>
          <w:sz w:val="19"/>
          <w:szCs w:val="19"/>
        </w:rPr>
        <w:t xml:space="preserve">elskabets strategiske mål og sikre fælles interesse mellem </w:t>
      </w:r>
      <w:r w:rsidR="00F13F67">
        <w:rPr>
          <w:rFonts w:ascii="Effra" w:hAnsi="Effra" w:cs="Arial"/>
          <w:sz w:val="19"/>
          <w:szCs w:val="19"/>
        </w:rPr>
        <w:t>S</w:t>
      </w:r>
      <w:r w:rsidRPr="00216A77">
        <w:rPr>
          <w:rFonts w:ascii="Effra" w:hAnsi="Effra" w:cs="Arial"/>
          <w:sz w:val="19"/>
          <w:szCs w:val="19"/>
        </w:rPr>
        <w:t>elskabet, aktionærer, direktion, ledende medarbejdere og bestyrelse.</w:t>
      </w:r>
      <w:r w:rsidR="00EC37E0">
        <w:rPr>
          <w:rFonts w:ascii="Effra" w:hAnsi="Effra" w:cs="Arial"/>
          <w:sz w:val="19"/>
          <w:szCs w:val="19"/>
        </w:rPr>
        <w:t xml:space="preserve"> </w:t>
      </w:r>
      <w:r w:rsidR="00EC37E0" w:rsidRPr="00C8176A">
        <w:rPr>
          <w:rFonts w:ascii="Effra" w:hAnsi="Effra" w:cs="Arial"/>
          <w:sz w:val="19"/>
          <w:szCs w:val="19"/>
        </w:rPr>
        <w:t xml:space="preserve">Bestyrelsen vurderer og aftaler hvert år direktionens samlede aflønning efter indstilling fra vederlagsudvalget. </w:t>
      </w:r>
    </w:p>
    <w:p w14:paraId="6EA8185F" w14:textId="77777777" w:rsidR="00204FA0" w:rsidRDefault="00EC37E0" w:rsidP="00216A77">
      <w:pPr>
        <w:autoSpaceDE w:val="0"/>
        <w:autoSpaceDN w:val="0"/>
        <w:adjustRightInd w:val="0"/>
        <w:spacing w:after="120" w:line="280" w:lineRule="exact"/>
        <w:jc w:val="both"/>
        <w:rPr>
          <w:rFonts w:ascii="Effra" w:hAnsi="Effra" w:cs="Arial"/>
          <w:sz w:val="19"/>
          <w:szCs w:val="19"/>
        </w:rPr>
      </w:pPr>
      <w:r w:rsidRPr="00C8176A">
        <w:rPr>
          <w:rFonts w:ascii="Effra" w:hAnsi="Effra" w:cs="Arial"/>
          <w:sz w:val="19"/>
          <w:szCs w:val="19"/>
        </w:rPr>
        <w:t>Direktionens aflønning består af en fast del og en variabel del</w:t>
      </w:r>
      <w:r w:rsidR="00D51DC7">
        <w:rPr>
          <w:rFonts w:ascii="Effra" w:hAnsi="Effra" w:cs="Arial"/>
          <w:sz w:val="19"/>
          <w:szCs w:val="19"/>
        </w:rPr>
        <w:t xml:space="preserve"> og </w:t>
      </w:r>
      <w:r w:rsidR="00216A77" w:rsidRPr="00216A77">
        <w:rPr>
          <w:rFonts w:ascii="Effra" w:hAnsi="Effra" w:cs="Arial"/>
          <w:sz w:val="19"/>
          <w:szCs w:val="19"/>
        </w:rPr>
        <w:t xml:space="preserve">består </w:t>
      </w:r>
      <w:r w:rsidR="00E34829">
        <w:rPr>
          <w:rFonts w:ascii="Effra" w:hAnsi="Effra" w:cs="Arial"/>
          <w:sz w:val="19"/>
          <w:szCs w:val="19"/>
        </w:rPr>
        <w:t xml:space="preserve">udelukkende </w:t>
      </w:r>
      <w:r w:rsidR="00216A77" w:rsidRPr="00216A77">
        <w:rPr>
          <w:rFonts w:ascii="Effra" w:hAnsi="Effra" w:cs="Arial"/>
          <w:sz w:val="19"/>
          <w:szCs w:val="19"/>
        </w:rPr>
        <w:t xml:space="preserve">af kontant vederlæggelse. </w:t>
      </w:r>
    </w:p>
    <w:p w14:paraId="41BBF324" w14:textId="77777777" w:rsidR="00204FA0" w:rsidRDefault="00204FA0" w:rsidP="00204FA0">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lastRenderedPageBreak/>
        <w:t xml:space="preserve">Den variable </w:t>
      </w:r>
      <w:proofErr w:type="spellStart"/>
      <w:r>
        <w:rPr>
          <w:rFonts w:ascii="Effra" w:hAnsi="Effra" w:cs="Arial"/>
          <w:sz w:val="19"/>
          <w:szCs w:val="19"/>
        </w:rPr>
        <w:t>løndel</w:t>
      </w:r>
      <w:proofErr w:type="spellEnd"/>
      <w:r>
        <w:rPr>
          <w:rFonts w:ascii="Effra" w:hAnsi="Effra" w:cs="Arial"/>
          <w:sz w:val="19"/>
          <w:szCs w:val="19"/>
        </w:rPr>
        <w:t xml:space="preserve"> til direktionen tildeles for at sikre </w:t>
      </w:r>
      <w:r w:rsidRPr="00DA2E95">
        <w:rPr>
          <w:rFonts w:ascii="Effra" w:hAnsi="Effra" w:cs="Arial"/>
          <w:sz w:val="19"/>
          <w:szCs w:val="19"/>
        </w:rPr>
        <w:t>et passende sammenfald mellem ledelsens og aktionærernes interesser og skal medvirke til at fremme værdiskabelsen i Selskabet og understøtte Selskabets kort- og langsigtede strategi og målsætninger.</w:t>
      </w:r>
      <w:r>
        <w:rPr>
          <w:rFonts w:ascii="Effra" w:hAnsi="Effra" w:cs="Arial"/>
          <w:sz w:val="19"/>
          <w:szCs w:val="19"/>
        </w:rPr>
        <w:t xml:space="preserve"> </w:t>
      </w:r>
    </w:p>
    <w:p w14:paraId="53FD0306" w14:textId="716FFF63" w:rsidR="00FC42B0" w:rsidRDefault="00FC42B0" w:rsidP="00FC42B0">
      <w:pPr>
        <w:autoSpaceDE w:val="0"/>
        <w:autoSpaceDN w:val="0"/>
        <w:adjustRightInd w:val="0"/>
        <w:spacing w:after="120" w:line="280" w:lineRule="exact"/>
        <w:jc w:val="both"/>
        <w:rPr>
          <w:rFonts w:ascii="Effra" w:hAnsi="Effra" w:cs="Arial"/>
          <w:sz w:val="19"/>
          <w:szCs w:val="19"/>
        </w:rPr>
      </w:pPr>
      <w:r w:rsidRPr="00FC42B0">
        <w:rPr>
          <w:rFonts w:ascii="Effra" w:hAnsi="Effra" w:cs="Arial"/>
          <w:sz w:val="19"/>
          <w:szCs w:val="19"/>
        </w:rPr>
        <w:t xml:space="preserve">Den årlig kontante bonus for en direktør kan som udgangspunkt maksimalt udgøre op til 12 måneders løn og skal være afhængig af de sportslige resultater, såsom placering i Superligaen, deltagelse i europæiske gruppespil og placering i DBU-pokalen samt økonomiske resultater og/eller individuelle resultater inden for den enkelte direktørs ressortområde, som </w:t>
      </w:r>
      <w:r w:rsidR="00BD3EE0">
        <w:rPr>
          <w:rFonts w:ascii="Effra" w:hAnsi="Effra" w:cs="Arial"/>
          <w:sz w:val="19"/>
          <w:szCs w:val="19"/>
        </w:rPr>
        <w:t>S</w:t>
      </w:r>
      <w:r w:rsidRPr="00FC42B0">
        <w:rPr>
          <w:rFonts w:ascii="Effra" w:hAnsi="Effra" w:cs="Arial"/>
          <w:sz w:val="19"/>
          <w:szCs w:val="19"/>
        </w:rPr>
        <w:t xml:space="preserve">elskabet og den enkelte direktør opnår. I tilfælde af at en direktør opnår et ekstraordinært resultat inden for sit ressortområde, som tilfører </w:t>
      </w:r>
      <w:r w:rsidR="00BD3EE0">
        <w:rPr>
          <w:rFonts w:ascii="Effra" w:hAnsi="Effra" w:cs="Arial"/>
          <w:sz w:val="19"/>
          <w:szCs w:val="19"/>
        </w:rPr>
        <w:t>S</w:t>
      </w:r>
      <w:r w:rsidRPr="00FC42B0">
        <w:rPr>
          <w:rFonts w:ascii="Effra" w:hAnsi="Effra" w:cs="Arial"/>
          <w:sz w:val="19"/>
          <w:szCs w:val="19"/>
        </w:rPr>
        <w:t>elskabet en betragtelig økonomisk indtægt, kan direktøren modtage en årlig bonus, som er højere end 12 måneders løn. Yderlige kan bestyrelsen i helt særlige tilfælde give en direktør en yderligere diskretionær kontant godtgørelse, fx som led i ansættelse eller fratræden.</w:t>
      </w:r>
    </w:p>
    <w:p w14:paraId="2C69D1ED" w14:textId="77777777" w:rsidR="00207F6B" w:rsidRPr="00FC42B0" w:rsidRDefault="00207F6B" w:rsidP="00FC42B0">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 xml:space="preserve">Resultatkriterierne er </w:t>
      </w:r>
      <w:r w:rsidR="00481918">
        <w:rPr>
          <w:rFonts w:ascii="Effra" w:hAnsi="Effra" w:cs="Arial"/>
          <w:sz w:val="19"/>
          <w:szCs w:val="19"/>
        </w:rPr>
        <w:t xml:space="preserve">fastsat under hensyntagen til Selskabets særlige forretningsområde og med henblik på at sikre det sportslige og økonomiske fundament </w:t>
      </w:r>
      <w:r w:rsidR="003A2BB3">
        <w:rPr>
          <w:rFonts w:ascii="Effra" w:hAnsi="Effra" w:cs="Arial"/>
          <w:sz w:val="19"/>
          <w:szCs w:val="19"/>
        </w:rPr>
        <w:t>på kort og langt sigt. Resultatkriterierne er et udtryk for Selskabet</w:t>
      </w:r>
      <w:r w:rsidR="00BD3EE0">
        <w:rPr>
          <w:rFonts w:ascii="Effra" w:hAnsi="Effra" w:cs="Arial"/>
          <w:sz w:val="19"/>
          <w:szCs w:val="19"/>
        </w:rPr>
        <w:t>s</w:t>
      </w:r>
      <w:r w:rsidR="003A2BB3">
        <w:rPr>
          <w:rFonts w:ascii="Effra" w:hAnsi="Effra" w:cs="Arial"/>
          <w:sz w:val="19"/>
          <w:szCs w:val="19"/>
        </w:rPr>
        <w:t xml:space="preserve"> prioritering af at </w:t>
      </w:r>
      <w:r w:rsidR="006A6759">
        <w:rPr>
          <w:rFonts w:ascii="Effra" w:hAnsi="Effra" w:cs="Arial"/>
          <w:sz w:val="19"/>
          <w:szCs w:val="19"/>
        </w:rPr>
        <w:t xml:space="preserve">bibeholde en høj sportslig placering, idet branchens specielle vilkår </w:t>
      </w:r>
      <w:r w:rsidR="00605153">
        <w:rPr>
          <w:rFonts w:ascii="Effra" w:hAnsi="Effra" w:cs="Arial"/>
          <w:sz w:val="19"/>
          <w:szCs w:val="19"/>
        </w:rPr>
        <w:t xml:space="preserve">tilsiger, at de sportslige og økonomiske resultater i overvejende grad er sammenfaldende. </w:t>
      </w:r>
    </w:p>
    <w:p w14:paraId="72A73548" w14:textId="70A55DD1" w:rsidR="00FC42B0" w:rsidRPr="00DA2E95" w:rsidRDefault="00FC42B0" w:rsidP="00FC42B0">
      <w:pPr>
        <w:autoSpaceDE w:val="0"/>
        <w:autoSpaceDN w:val="0"/>
        <w:adjustRightInd w:val="0"/>
        <w:spacing w:after="120" w:line="280" w:lineRule="exact"/>
        <w:jc w:val="both"/>
        <w:rPr>
          <w:rFonts w:ascii="Effra" w:hAnsi="Effra" w:cs="Arial"/>
          <w:sz w:val="19"/>
          <w:szCs w:val="19"/>
        </w:rPr>
      </w:pPr>
      <w:r w:rsidRPr="00FC42B0">
        <w:rPr>
          <w:rFonts w:ascii="Effra" w:hAnsi="Effra" w:cs="Arial"/>
          <w:sz w:val="19"/>
          <w:szCs w:val="19"/>
        </w:rPr>
        <w:t xml:space="preserve">Det skal sikres, at der i de enkelte direktøraftaler indgås aftale om, at </w:t>
      </w:r>
      <w:r w:rsidR="00CB3EDF">
        <w:rPr>
          <w:rFonts w:ascii="Effra" w:hAnsi="Effra" w:cs="Arial"/>
          <w:sz w:val="19"/>
          <w:szCs w:val="19"/>
        </w:rPr>
        <w:t>S</w:t>
      </w:r>
      <w:r w:rsidRPr="00FC42B0">
        <w:rPr>
          <w:rFonts w:ascii="Effra" w:hAnsi="Effra" w:cs="Arial"/>
          <w:sz w:val="19"/>
          <w:szCs w:val="19"/>
        </w:rPr>
        <w:t>elskabet har ret til i helt særlige tilfælde at kræve hel eller delvis tilbagebetaling af variable løndele, der er udbetalt på grundlag af oplysninger, der efterfølgende dokumenteres fejlagtige.</w:t>
      </w:r>
    </w:p>
    <w:p w14:paraId="10A98790" w14:textId="77777777" w:rsidR="003557BD" w:rsidRDefault="005F0049" w:rsidP="005F0049">
      <w:pPr>
        <w:autoSpaceDE w:val="0"/>
        <w:autoSpaceDN w:val="0"/>
        <w:adjustRightInd w:val="0"/>
        <w:spacing w:after="120" w:line="280" w:lineRule="exact"/>
        <w:jc w:val="both"/>
        <w:rPr>
          <w:rFonts w:ascii="Effra" w:hAnsi="Effra" w:cs="Arial"/>
          <w:i/>
          <w:sz w:val="19"/>
          <w:szCs w:val="19"/>
        </w:rPr>
      </w:pPr>
      <w:r w:rsidRPr="00DA2E95">
        <w:rPr>
          <w:rFonts w:ascii="Effra" w:hAnsi="Effra" w:cs="Arial"/>
          <w:i/>
          <w:sz w:val="19"/>
          <w:szCs w:val="19"/>
        </w:rPr>
        <w:t>4.</w:t>
      </w:r>
      <w:r>
        <w:rPr>
          <w:rFonts w:ascii="Effra" w:hAnsi="Effra" w:cs="Arial"/>
          <w:i/>
          <w:sz w:val="19"/>
          <w:szCs w:val="19"/>
        </w:rPr>
        <w:t>3</w:t>
      </w:r>
      <w:r w:rsidRPr="00DA2E95">
        <w:rPr>
          <w:rFonts w:ascii="Effra" w:hAnsi="Effra" w:cs="Arial"/>
          <w:i/>
          <w:sz w:val="19"/>
          <w:szCs w:val="19"/>
        </w:rPr>
        <w:t xml:space="preserve"> </w:t>
      </w:r>
      <w:r>
        <w:rPr>
          <w:rFonts w:ascii="Effra" w:hAnsi="Effra" w:cs="Arial"/>
          <w:i/>
          <w:sz w:val="19"/>
          <w:szCs w:val="19"/>
        </w:rPr>
        <w:t>Vederlagskomponenternes størrels</w:t>
      </w:r>
      <w:r w:rsidR="003557BD">
        <w:rPr>
          <w:rFonts w:ascii="Effra" w:hAnsi="Effra" w:cs="Arial"/>
          <w:i/>
          <w:sz w:val="19"/>
          <w:szCs w:val="19"/>
        </w:rPr>
        <w:t>e</w:t>
      </w:r>
    </w:p>
    <w:p w14:paraId="52C254E3" w14:textId="77777777" w:rsidR="003557BD" w:rsidRDefault="003557BD" w:rsidP="005F0049">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 xml:space="preserve">Aflønningen af Selskabets direktion kan bestå af følgende </w:t>
      </w:r>
      <w:r w:rsidR="00D74D17">
        <w:rPr>
          <w:rFonts w:ascii="Effra" w:hAnsi="Effra" w:cs="Arial"/>
          <w:sz w:val="19"/>
          <w:szCs w:val="19"/>
        </w:rPr>
        <w:t>aflønningskomponenter</w:t>
      </w:r>
      <w:r w:rsidR="0008546E">
        <w:rPr>
          <w:rFonts w:ascii="Effra" w:hAnsi="Effra" w:cs="Arial"/>
          <w:sz w:val="19"/>
          <w:szCs w:val="19"/>
        </w:rPr>
        <w:t xml:space="preserve"> og de enkelte komponenter kan udgøre op til følgende andele af den</w:t>
      </w:r>
      <w:r w:rsidR="000F756A">
        <w:rPr>
          <w:rFonts w:ascii="Effra" w:hAnsi="Effra" w:cs="Arial"/>
          <w:sz w:val="19"/>
          <w:szCs w:val="19"/>
        </w:rPr>
        <w:t xml:space="preserve"> årlige</w:t>
      </w:r>
      <w:r w:rsidR="0008546E">
        <w:rPr>
          <w:rFonts w:ascii="Effra" w:hAnsi="Effra" w:cs="Arial"/>
          <w:sz w:val="19"/>
          <w:szCs w:val="19"/>
        </w:rPr>
        <w:t xml:space="preserve"> faste grundløn:</w:t>
      </w:r>
    </w:p>
    <w:p w14:paraId="043F5D70" w14:textId="77777777" w:rsidR="00D74D17" w:rsidRDefault="00D74D17" w:rsidP="0017038F">
      <w:pPr>
        <w:autoSpaceDE w:val="0"/>
        <w:autoSpaceDN w:val="0"/>
        <w:adjustRightInd w:val="0"/>
        <w:spacing w:after="120" w:line="280" w:lineRule="exact"/>
        <w:jc w:val="center"/>
        <w:rPr>
          <w:rFonts w:ascii="Effra" w:hAnsi="Effra" w:cs="Arial"/>
          <w:sz w:val="19"/>
          <w:szCs w:val="19"/>
        </w:rPr>
      </w:pP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1170"/>
      </w:tblGrid>
      <w:tr w:rsidR="00D74D17" w14:paraId="4820B9F2" w14:textId="77777777" w:rsidTr="0017038F">
        <w:trPr>
          <w:trHeight w:val="382"/>
          <w:jc w:val="center"/>
        </w:trPr>
        <w:tc>
          <w:tcPr>
            <w:tcW w:w="4217" w:type="dxa"/>
          </w:tcPr>
          <w:p w14:paraId="0DF0446B" w14:textId="77777777" w:rsidR="00D74D17" w:rsidRPr="0017038F" w:rsidRDefault="00D74D17" w:rsidP="005F0049">
            <w:pPr>
              <w:autoSpaceDE w:val="0"/>
              <w:autoSpaceDN w:val="0"/>
              <w:adjustRightInd w:val="0"/>
              <w:spacing w:after="120" w:line="280" w:lineRule="exact"/>
              <w:jc w:val="both"/>
              <w:rPr>
                <w:rFonts w:ascii="Effra" w:hAnsi="Effra" w:cs="Arial"/>
                <w:b/>
                <w:sz w:val="19"/>
                <w:szCs w:val="19"/>
              </w:rPr>
            </w:pPr>
            <w:r w:rsidRPr="0017038F">
              <w:rPr>
                <w:rFonts w:ascii="Effra" w:hAnsi="Effra" w:cs="Arial"/>
                <w:b/>
                <w:sz w:val="19"/>
                <w:szCs w:val="19"/>
              </w:rPr>
              <w:t>Aflønningskomponent</w:t>
            </w:r>
          </w:p>
        </w:tc>
        <w:tc>
          <w:tcPr>
            <w:tcW w:w="1170" w:type="dxa"/>
          </w:tcPr>
          <w:p w14:paraId="557D6F39" w14:textId="77777777" w:rsidR="00D74D17" w:rsidRPr="0017038F" w:rsidRDefault="00D74D17" w:rsidP="0008546E">
            <w:pPr>
              <w:autoSpaceDE w:val="0"/>
              <w:autoSpaceDN w:val="0"/>
              <w:adjustRightInd w:val="0"/>
              <w:spacing w:after="120" w:line="280" w:lineRule="exact"/>
              <w:jc w:val="right"/>
              <w:rPr>
                <w:rFonts w:ascii="Effra" w:hAnsi="Effra" w:cs="Arial"/>
                <w:b/>
                <w:sz w:val="19"/>
                <w:szCs w:val="19"/>
              </w:rPr>
            </w:pPr>
            <w:r w:rsidRPr="0017038F">
              <w:rPr>
                <w:rFonts w:ascii="Effra" w:hAnsi="Effra" w:cs="Arial"/>
                <w:b/>
                <w:sz w:val="19"/>
                <w:szCs w:val="19"/>
              </w:rPr>
              <w:t>Maksimum</w:t>
            </w:r>
          </w:p>
        </w:tc>
      </w:tr>
      <w:tr w:rsidR="00D74D17" w14:paraId="102437D4" w14:textId="77777777" w:rsidTr="0017038F">
        <w:trPr>
          <w:trHeight w:val="382"/>
          <w:jc w:val="center"/>
        </w:trPr>
        <w:tc>
          <w:tcPr>
            <w:tcW w:w="4217" w:type="dxa"/>
          </w:tcPr>
          <w:p w14:paraId="2A8A4365" w14:textId="77777777" w:rsidR="00D74D17" w:rsidRDefault="0008546E" w:rsidP="005F0049">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Fast løn</w:t>
            </w:r>
          </w:p>
        </w:tc>
        <w:tc>
          <w:tcPr>
            <w:tcW w:w="1170" w:type="dxa"/>
          </w:tcPr>
          <w:p w14:paraId="1548424D" w14:textId="77777777" w:rsidR="00D74D17" w:rsidRDefault="0008546E" w:rsidP="0008546E">
            <w:pPr>
              <w:autoSpaceDE w:val="0"/>
              <w:autoSpaceDN w:val="0"/>
              <w:adjustRightInd w:val="0"/>
              <w:spacing w:after="120" w:line="280" w:lineRule="exact"/>
              <w:jc w:val="right"/>
              <w:rPr>
                <w:rFonts w:ascii="Effra" w:hAnsi="Effra" w:cs="Arial"/>
                <w:sz w:val="19"/>
                <w:szCs w:val="19"/>
              </w:rPr>
            </w:pPr>
            <w:r>
              <w:rPr>
                <w:rFonts w:ascii="Effra" w:hAnsi="Effra" w:cs="Arial"/>
                <w:sz w:val="19"/>
                <w:szCs w:val="19"/>
              </w:rPr>
              <w:t>100 pct.</w:t>
            </w:r>
          </w:p>
        </w:tc>
      </w:tr>
      <w:tr w:rsidR="00D74D17" w14:paraId="1A7AB9DD" w14:textId="77777777" w:rsidTr="0017038F">
        <w:trPr>
          <w:trHeight w:val="382"/>
          <w:jc w:val="center"/>
        </w:trPr>
        <w:tc>
          <w:tcPr>
            <w:tcW w:w="4217" w:type="dxa"/>
          </w:tcPr>
          <w:p w14:paraId="587E67CD" w14:textId="77777777" w:rsidR="00D74D17" w:rsidRDefault="0008546E" w:rsidP="005F0049">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Pension</w:t>
            </w:r>
          </w:p>
        </w:tc>
        <w:tc>
          <w:tcPr>
            <w:tcW w:w="1170" w:type="dxa"/>
          </w:tcPr>
          <w:p w14:paraId="04610EA0" w14:textId="77777777" w:rsidR="00D74D17" w:rsidRDefault="00DA0697" w:rsidP="0008546E">
            <w:pPr>
              <w:autoSpaceDE w:val="0"/>
              <w:autoSpaceDN w:val="0"/>
              <w:adjustRightInd w:val="0"/>
              <w:spacing w:after="120" w:line="280" w:lineRule="exact"/>
              <w:jc w:val="right"/>
              <w:rPr>
                <w:rFonts w:ascii="Effra" w:hAnsi="Effra" w:cs="Arial"/>
                <w:sz w:val="19"/>
                <w:szCs w:val="19"/>
              </w:rPr>
            </w:pPr>
            <w:r>
              <w:rPr>
                <w:rFonts w:ascii="Effra" w:hAnsi="Effra" w:cs="Arial"/>
                <w:sz w:val="19"/>
                <w:szCs w:val="19"/>
              </w:rPr>
              <w:t>12 pct.</w:t>
            </w:r>
          </w:p>
        </w:tc>
      </w:tr>
      <w:tr w:rsidR="00D74D17" w14:paraId="0690A354" w14:textId="77777777" w:rsidTr="0017038F">
        <w:trPr>
          <w:trHeight w:val="382"/>
          <w:jc w:val="center"/>
        </w:trPr>
        <w:tc>
          <w:tcPr>
            <w:tcW w:w="4217" w:type="dxa"/>
          </w:tcPr>
          <w:p w14:paraId="71390D6D" w14:textId="77777777" w:rsidR="00D74D17" w:rsidRDefault="004867E6" w:rsidP="005F0049">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Andre goder</w:t>
            </w:r>
          </w:p>
        </w:tc>
        <w:tc>
          <w:tcPr>
            <w:tcW w:w="1170" w:type="dxa"/>
          </w:tcPr>
          <w:p w14:paraId="34C50D01" w14:textId="77777777" w:rsidR="00D74D17" w:rsidRDefault="00716C79" w:rsidP="0008546E">
            <w:pPr>
              <w:autoSpaceDE w:val="0"/>
              <w:autoSpaceDN w:val="0"/>
              <w:adjustRightInd w:val="0"/>
              <w:spacing w:after="120" w:line="280" w:lineRule="exact"/>
              <w:jc w:val="right"/>
              <w:rPr>
                <w:rFonts w:ascii="Effra" w:hAnsi="Effra" w:cs="Arial"/>
                <w:sz w:val="19"/>
                <w:szCs w:val="19"/>
              </w:rPr>
            </w:pPr>
            <w:r>
              <w:rPr>
                <w:rFonts w:ascii="Effra" w:hAnsi="Effra" w:cs="Arial"/>
                <w:sz w:val="19"/>
                <w:szCs w:val="19"/>
              </w:rPr>
              <w:t>1</w:t>
            </w:r>
            <w:r w:rsidR="00204E75">
              <w:rPr>
                <w:rFonts w:ascii="Effra" w:hAnsi="Effra" w:cs="Arial"/>
                <w:sz w:val="19"/>
                <w:szCs w:val="19"/>
              </w:rPr>
              <w:t>5</w:t>
            </w:r>
            <w:r>
              <w:rPr>
                <w:rFonts w:ascii="Effra" w:hAnsi="Effra" w:cs="Arial"/>
                <w:sz w:val="19"/>
                <w:szCs w:val="19"/>
              </w:rPr>
              <w:t xml:space="preserve"> pct.</w:t>
            </w:r>
          </w:p>
        </w:tc>
      </w:tr>
      <w:tr w:rsidR="00D74D17" w14:paraId="5A81FE7B" w14:textId="77777777" w:rsidTr="0017038F">
        <w:trPr>
          <w:trHeight w:val="382"/>
          <w:jc w:val="center"/>
        </w:trPr>
        <w:tc>
          <w:tcPr>
            <w:tcW w:w="4217" w:type="dxa"/>
          </w:tcPr>
          <w:p w14:paraId="75D67753" w14:textId="77777777" w:rsidR="00D74D17" w:rsidRDefault="004867E6" w:rsidP="005F0049">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Kontantbaseret incitamentsaflønning</w:t>
            </w:r>
          </w:p>
        </w:tc>
        <w:tc>
          <w:tcPr>
            <w:tcW w:w="1170" w:type="dxa"/>
          </w:tcPr>
          <w:p w14:paraId="3FAC92A1" w14:textId="77777777" w:rsidR="00D74D17" w:rsidRDefault="004867E6" w:rsidP="0008546E">
            <w:pPr>
              <w:autoSpaceDE w:val="0"/>
              <w:autoSpaceDN w:val="0"/>
              <w:adjustRightInd w:val="0"/>
              <w:spacing w:after="120" w:line="280" w:lineRule="exact"/>
              <w:jc w:val="right"/>
              <w:rPr>
                <w:rFonts w:ascii="Effra" w:hAnsi="Effra" w:cs="Arial"/>
                <w:sz w:val="19"/>
                <w:szCs w:val="19"/>
              </w:rPr>
            </w:pPr>
            <w:r>
              <w:rPr>
                <w:rFonts w:ascii="Effra" w:hAnsi="Effra" w:cs="Arial"/>
                <w:sz w:val="19"/>
                <w:szCs w:val="19"/>
              </w:rPr>
              <w:t>100 pct.</w:t>
            </w:r>
          </w:p>
        </w:tc>
      </w:tr>
    </w:tbl>
    <w:p w14:paraId="480CA646" w14:textId="77777777" w:rsidR="003557BD" w:rsidRPr="00DA2E95" w:rsidRDefault="003557BD" w:rsidP="005F0049">
      <w:pPr>
        <w:autoSpaceDE w:val="0"/>
        <w:autoSpaceDN w:val="0"/>
        <w:adjustRightInd w:val="0"/>
        <w:spacing w:after="120" w:line="280" w:lineRule="exact"/>
        <w:jc w:val="both"/>
        <w:rPr>
          <w:rFonts w:ascii="Effra" w:hAnsi="Effra" w:cs="Arial"/>
          <w:i/>
          <w:sz w:val="19"/>
          <w:szCs w:val="19"/>
        </w:rPr>
      </w:pPr>
    </w:p>
    <w:p w14:paraId="2853B35B" w14:textId="77777777" w:rsidR="00D66313" w:rsidRDefault="00D66313" w:rsidP="00D66313">
      <w:pPr>
        <w:autoSpaceDE w:val="0"/>
        <w:autoSpaceDN w:val="0"/>
        <w:adjustRightInd w:val="0"/>
        <w:spacing w:after="120" w:line="280" w:lineRule="exact"/>
        <w:jc w:val="both"/>
        <w:rPr>
          <w:rFonts w:ascii="Effra" w:hAnsi="Effra" w:cs="Arial"/>
          <w:i/>
          <w:sz w:val="19"/>
          <w:szCs w:val="19"/>
        </w:rPr>
      </w:pPr>
      <w:r w:rsidRPr="00DA2E95">
        <w:rPr>
          <w:rFonts w:ascii="Effra" w:hAnsi="Effra" w:cs="Arial"/>
          <w:i/>
          <w:sz w:val="19"/>
          <w:szCs w:val="19"/>
        </w:rPr>
        <w:t>4.</w:t>
      </w:r>
      <w:r>
        <w:rPr>
          <w:rFonts w:ascii="Effra" w:hAnsi="Effra" w:cs="Arial"/>
          <w:i/>
          <w:sz w:val="19"/>
          <w:szCs w:val="19"/>
        </w:rPr>
        <w:t>4</w:t>
      </w:r>
      <w:r w:rsidRPr="00DA2E95">
        <w:rPr>
          <w:rFonts w:ascii="Effra" w:hAnsi="Effra" w:cs="Arial"/>
          <w:i/>
          <w:sz w:val="19"/>
          <w:szCs w:val="19"/>
        </w:rPr>
        <w:t xml:space="preserve"> </w:t>
      </w:r>
      <w:r w:rsidR="00594FB1">
        <w:rPr>
          <w:rFonts w:ascii="Effra" w:hAnsi="Effra" w:cs="Arial"/>
          <w:i/>
          <w:sz w:val="19"/>
          <w:szCs w:val="19"/>
        </w:rPr>
        <w:t>Øvrige væsentlige forhold</w:t>
      </w:r>
    </w:p>
    <w:p w14:paraId="2E14816D" w14:textId="77777777" w:rsidR="00594FB1" w:rsidRDefault="00B1282C" w:rsidP="00D66313">
      <w:pPr>
        <w:autoSpaceDE w:val="0"/>
        <w:autoSpaceDN w:val="0"/>
        <w:adjustRightInd w:val="0"/>
        <w:spacing w:after="120" w:line="280" w:lineRule="exact"/>
        <w:jc w:val="both"/>
        <w:rPr>
          <w:rFonts w:ascii="Effra" w:hAnsi="Effra" w:cs="Arial"/>
          <w:sz w:val="19"/>
          <w:szCs w:val="19"/>
        </w:rPr>
      </w:pPr>
      <w:r w:rsidRPr="00B1282C">
        <w:rPr>
          <w:rFonts w:ascii="Effra" w:hAnsi="Effra" w:cs="Arial"/>
          <w:sz w:val="19"/>
          <w:szCs w:val="19"/>
        </w:rPr>
        <w:t xml:space="preserve">Bestyrelsen fastsætter vilkår for </w:t>
      </w:r>
      <w:r>
        <w:rPr>
          <w:rFonts w:ascii="Effra" w:hAnsi="Effra" w:cs="Arial"/>
          <w:sz w:val="19"/>
          <w:szCs w:val="19"/>
        </w:rPr>
        <w:t>d</w:t>
      </w:r>
      <w:r w:rsidRPr="00B1282C">
        <w:rPr>
          <w:rFonts w:ascii="Effra" w:hAnsi="Effra" w:cs="Arial"/>
          <w:sz w:val="19"/>
          <w:szCs w:val="19"/>
        </w:rPr>
        <w:t>irektionens fratrædelse. Det almindelige opsigelsesvarsel fra Selskabets side kan være mellem seks og tolv måneder. Det almindelige opsigelsesvarsel fra direktørens side kan ikke overstige seks måneder. Der kan laves ordninger med fratrædelsesgodtgørelse, dog maksimalt svarende til 12 måneders løn.</w:t>
      </w:r>
      <w:bookmarkStart w:id="1" w:name="_GoBack"/>
      <w:bookmarkEnd w:id="1"/>
    </w:p>
    <w:p w14:paraId="63B6047E" w14:textId="77777777" w:rsidR="00115788" w:rsidRDefault="00115788" w:rsidP="00D66313">
      <w:pPr>
        <w:autoSpaceDE w:val="0"/>
        <w:autoSpaceDN w:val="0"/>
        <w:adjustRightInd w:val="0"/>
        <w:spacing w:after="120" w:line="280" w:lineRule="exact"/>
        <w:jc w:val="both"/>
        <w:rPr>
          <w:rFonts w:ascii="Effra" w:hAnsi="Effra" w:cs="Arial"/>
          <w:sz w:val="19"/>
          <w:szCs w:val="19"/>
        </w:rPr>
      </w:pPr>
      <w:r>
        <w:rPr>
          <w:rFonts w:ascii="Effra" w:hAnsi="Effra" w:cs="Arial"/>
          <w:sz w:val="19"/>
          <w:szCs w:val="19"/>
        </w:rPr>
        <w:t>Der kan aftales uopsigelighed for direktionen på op til 30 måneder.</w:t>
      </w:r>
    </w:p>
    <w:p w14:paraId="58D74411" w14:textId="77777777" w:rsidR="00BE0EE4" w:rsidRDefault="00BE0EE4" w:rsidP="00BE0EE4">
      <w:pPr>
        <w:pStyle w:val="Listeafsnit"/>
        <w:numPr>
          <w:ilvl w:val="0"/>
          <w:numId w:val="15"/>
        </w:numPr>
        <w:autoSpaceDE w:val="0"/>
        <w:autoSpaceDN w:val="0"/>
        <w:adjustRightInd w:val="0"/>
        <w:spacing w:after="120" w:line="280" w:lineRule="exact"/>
        <w:ind w:left="284" w:hanging="284"/>
        <w:jc w:val="both"/>
        <w:rPr>
          <w:rFonts w:ascii="Effra" w:hAnsi="Effra" w:cs="Arial"/>
          <w:b/>
          <w:bCs/>
          <w:sz w:val="19"/>
          <w:szCs w:val="19"/>
          <w:lang w:val="da-DK"/>
        </w:rPr>
      </w:pPr>
      <w:r>
        <w:rPr>
          <w:rFonts w:ascii="Effra" w:hAnsi="Effra" w:cs="Arial"/>
          <w:b/>
          <w:bCs/>
          <w:sz w:val="19"/>
          <w:szCs w:val="19"/>
          <w:lang w:val="da-DK"/>
        </w:rPr>
        <w:t>Aflønning af Selskabets medarbejdere</w:t>
      </w:r>
    </w:p>
    <w:p w14:paraId="555B2866" w14:textId="77777777" w:rsidR="00BE0EE4" w:rsidRDefault="00D14759" w:rsidP="00B1282C">
      <w:pPr>
        <w:autoSpaceDE w:val="0"/>
        <w:autoSpaceDN w:val="0"/>
        <w:adjustRightInd w:val="0"/>
        <w:spacing w:after="120" w:line="280" w:lineRule="exact"/>
        <w:jc w:val="both"/>
        <w:rPr>
          <w:rFonts w:ascii="Effra" w:hAnsi="Effra" w:cs="Arial"/>
          <w:bCs/>
          <w:sz w:val="19"/>
          <w:szCs w:val="19"/>
        </w:rPr>
      </w:pPr>
      <w:r w:rsidRPr="00D14759">
        <w:rPr>
          <w:rFonts w:ascii="Effra" w:hAnsi="Effra" w:cs="Arial"/>
          <w:bCs/>
          <w:sz w:val="19"/>
          <w:szCs w:val="19"/>
        </w:rPr>
        <w:t xml:space="preserve">Samlet set er hovedparten af </w:t>
      </w:r>
      <w:r>
        <w:rPr>
          <w:rFonts w:ascii="Effra" w:hAnsi="Effra" w:cs="Arial"/>
          <w:bCs/>
          <w:sz w:val="19"/>
          <w:szCs w:val="19"/>
        </w:rPr>
        <w:t>Selskabets</w:t>
      </w:r>
      <w:r w:rsidRPr="00D14759">
        <w:rPr>
          <w:rFonts w:ascii="Effra" w:hAnsi="Effra" w:cs="Arial"/>
          <w:bCs/>
          <w:sz w:val="19"/>
          <w:szCs w:val="19"/>
        </w:rPr>
        <w:t xml:space="preserve"> ansatte kontraktfodboldspillere. Hertil kommer sportslig stab og ansatte i forbindelse med stadion, catering og konferencer samt administration, kommunikation og salg.</w:t>
      </w:r>
      <w:r>
        <w:rPr>
          <w:rFonts w:ascii="Effra" w:hAnsi="Effra" w:cs="Arial"/>
          <w:bCs/>
          <w:sz w:val="19"/>
          <w:szCs w:val="19"/>
        </w:rPr>
        <w:t xml:space="preserve"> </w:t>
      </w:r>
      <w:r w:rsidR="00BB05B8">
        <w:rPr>
          <w:rFonts w:ascii="Effra" w:hAnsi="Effra" w:cs="Arial"/>
          <w:bCs/>
          <w:sz w:val="19"/>
          <w:szCs w:val="19"/>
        </w:rPr>
        <w:t xml:space="preserve">Kontraktfodboldspillere ansættes i henhold til </w:t>
      </w:r>
      <w:r w:rsidR="00BB05B8" w:rsidRPr="00BB05B8">
        <w:rPr>
          <w:rFonts w:ascii="Effra" w:hAnsi="Effra" w:cs="Arial"/>
          <w:bCs/>
          <w:sz w:val="19"/>
          <w:szCs w:val="19"/>
        </w:rPr>
        <w:t>DBU og Divisionsforeningens regler og standardkontrakter</w:t>
      </w:r>
      <w:r w:rsidR="00BB05B8">
        <w:rPr>
          <w:rFonts w:ascii="Effra" w:hAnsi="Effra" w:cs="Arial"/>
          <w:bCs/>
          <w:sz w:val="19"/>
          <w:szCs w:val="19"/>
        </w:rPr>
        <w:t xml:space="preserve"> og vilkårene er således</w:t>
      </w:r>
      <w:r w:rsidR="001E78E1">
        <w:rPr>
          <w:rFonts w:ascii="Effra" w:hAnsi="Effra" w:cs="Arial"/>
          <w:bCs/>
          <w:sz w:val="19"/>
          <w:szCs w:val="19"/>
        </w:rPr>
        <w:t xml:space="preserve"> i væsentligt omfang</w:t>
      </w:r>
      <w:r w:rsidR="00BB05B8">
        <w:rPr>
          <w:rFonts w:ascii="Effra" w:hAnsi="Effra" w:cs="Arial"/>
          <w:bCs/>
          <w:sz w:val="19"/>
          <w:szCs w:val="19"/>
        </w:rPr>
        <w:t xml:space="preserve"> </w:t>
      </w:r>
      <w:r w:rsidR="00BB0EC9">
        <w:rPr>
          <w:rFonts w:ascii="Effra" w:hAnsi="Effra" w:cs="Arial"/>
          <w:bCs/>
          <w:sz w:val="19"/>
          <w:szCs w:val="19"/>
        </w:rPr>
        <w:t>standardiserede. Selskabet aflønner</w:t>
      </w:r>
      <w:r w:rsidR="001E78E1">
        <w:rPr>
          <w:rFonts w:ascii="Effra" w:hAnsi="Effra" w:cs="Arial"/>
          <w:bCs/>
          <w:sz w:val="19"/>
          <w:szCs w:val="19"/>
        </w:rPr>
        <w:t xml:space="preserve"> navnlig</w:t>
      </w:r>
      <w:r w:rsidR="00BB0EC9">
        <w:rPr>
          <w:rFonts w:ascii="Effra" w:hAnsi="Effra" w:cs="Arial"/>
          <w:bCs/>
          <w:sz w:val="19"/>
          <w:szCs w:val="19"/>
        </w:rPr>
        <w:t xml:space="preserve"> kontraktfodboldspillere under hensyntagen til spillerens markedsværdi, </w:t>
      </w:r>
      <w:r w:rsidR="009A74A5">
        <w:rPr>
          <w:rFonts w:ascii="Effra" w:hAnsi="Effra" w:cs="Arial"/>
          <w:bCs/>
          <w:sz w:val="19"/>
          <w:szCs w:val="19"/>
        </w:rPr>
        <w:t xml:space="preserve">mulige </w:t>
      </w:r>
      <w:r w:rsidR="00BB0EC9">
        <w:rPr>
          <w:rFonts w:ascii="Effra" w:hAnsi="Effra" w:cs="Arial"/>
          <w:bCs/>
          <w:sz w:val="19"/>
          <w:szCs w:val="19"/>
        </w:rPr>
        <w:t xml:space="preserve">bidrag til klubbens sportslige </w:t>
      </w:r>
      <w:r w:rsidR="009A74A5">
        <w:rPr>
          <w:rFonts w:ascii="Effra" w:hAnsi="Effra" w:cs="Arial"/>
          <w:bCs/>
          <w:sz w:val="19"/>
          <w:szCs w:val="19"/>
        </w:rPr>
        <w:t>målsætninger</w:t>
      </w:r>
      <w:r w:rsidR="001E78E1">
        <w:rPr>
          <w:rFonts w:ascii="Effra" w:hAnsi="Effra" w:cs="Arial"/>
          <w:bCs/>
          <w:sz w:val="19"/>
          <w:szCs w:val="19"/>
        </w:rPr>
        <w:t xml:space="preserve"> og spillerens </w:t>
      </w:r>
      <w:r w:rsidR="00806EB2">
        <w:rPr>
          <w:rFonts w:ascii="Effra" w:hAnsi="Effra" w:cs="Arial"/>
          <w:bCs/>
          <w:sz w:val="19"/>
          <w:szCs w:val="19"/>
        </w:rPr>
        <w:t xml:space="preserve">betydning for Selskabet. </w:t>
      </w:r>
      <w:r w:rsidR="00806EB2">
        <w:rPr>
          <w:rFonts w:ascii="Effra" w:hAnsi="Effra" w:cs="Arial"/>
          <w:bCs/>
          <w:sz w:val="19"/>
          <w:szCs w:val="19"/>
        </w:rPr>
        <w:lastRenderedPageBreak/>
        <w:t xml:space="preserve">Fodboldspilleren kan aflønnes med en fast grundløn og en resultatafhængig variabel løn, der primært </w:t>
      </w:r>
      <w:r w:rsidR="006750FC">
        <w:rPr>
          <w:rFonts w:ascii="Effra" w:hAnsi="Effra" w:cs="Arial"/>
          <w:bCs/>
          <w:sz w:val="19"/>
          <w:szCs w:val="19"/>
        </w:rPr>
        <w:t xml:space="preserve">afhænger af personlige og sportslige resultater. </w:t>
      </w:r>
    </w:p>
    <w:p w14:paraId="2529C44C" w14:textId="77777777" w:rsidR="006750FC" w:rsidRPr="00B1282C" w:rsidRDefault="006750FC" w:rsidP="00B1282C">
      <w:pPr>
        <w:autoSpaceDE w:val="0"/>
        <w:autoSpaceDN w:val="0"/>
        <w:adjustRightInd w:val="0"/>
        <w:spacing w:after="120" w:line="280" w:lineRule="exact"/>
        <w:jc w:val="both"/>
        <w:rPr>
          <w:rFonts w:ascii="Effra" w:hAnsi="Effra" w:cs="Arial"/>
          <w:bCs/>
          <w:sz w:val="19"/>
          <w:szCs w:val="19"/>
        </w:rPr>
      </w:pPr>
      <w:r>
        <w:rPr>
          <w:rFonts w:ascii="Effra" w:hAnsi="Effra" w:cs="Arial"/>
          <w:bCs/>
          <w:sz w:val="19"/>
          <w:szCs w:val="19"/>
        </w:rPr>
        <w:t xml:space="preserve">Selskabets øvrige medarbejdere ansættes på hhv. timeløns- og funktionærvilkår på individuelle kontrakter. Selskabet </w:t>
      </w:r>
      <w:r w:rsidR="0043377B">
        <w:rPr>
          <w:rFonts w:ascii="Effra" w:hAnsi="Effra" w:cs="Arial"/>
          <w:bCs/>
          <w:sz w:val="19"/>
          <w:szCs w:val="19"/>
        </w:rPr>
        <w:t>fastsætter et lønniveau ud fra hensynet om at kunne tiltrække og fastholde de bedst egnede kandidater til at lede Selskabets udvikling og værdiskabelse.</w:t>
      </w:r>
    </w:p>
    <w:p w14:paraId="4E5C5905" w14:textId="77777777" w:rsidR="00880208" w:rsidRPr="00BF2FCA" w:rsidRDefault="00880208" w:rsidP="00BF2FCA">
      <w:pPr>
        <w:autoSpaceDE w:val="0"/>
        <w:autoSpaceDN w:val="0"/>
        <w:adjustRightInd w:val="0"/>
        <w:spacing w:after="120" w:line="280" w:lineRule="exact"/>
        <w:jc w:val="both"/>
        <w:rPr>
          <w:rFonts w:ascii="Effra" w:hAnsi="Effra" w:cs="Arial"/>
          <w:bCs/>
          <w:sz w:val="19"/>
          <w:szCs w:val="19"/>
        </w:rPr>
      </w:pPr>
    </w:p>
    <w:p w14:paraId="47D0049C" w14:textId="77777777" w:rsidR="005B3FC9" w:rsidRPr="00DA2E95" w:rsidRDefault="005B3FC9" w:rsidP="005B3FC9">
      <w:pPr>
        <w:pStyle w:val="Listeafsnit"/>
        <w:numPr>
          <w:ilvl w:val="0"/>
          <w:numId w:val="15"/>
        </w:numPr>
        <w:autoSpaceDE w:val="0"/>
        <w:autoSpaceDN w:val="0"/>
        <w:adjustRightInd w:val="0"/>
        <w:spacing w:after="120" w:line="280" w:lineRule="exact"/>
        <w:ind w:left="284" w:hanging="284"/>
        <w:jc w:val="both"/>
        <w:rPr>
          <w:rFonts w:ascii="Effra" w:hAnsi="Effra" w:cs="Arial"/>
          <w:b/>
          <w:bCs/>
          <w:sz w:val="19"/>
          <w:szCs w:val="19"/>
          <w:lang w:val="da-DK"/>
        </w:rPr>
      </w:pPr>
      <w:r w:rsidRPr="00DA2E95">
        <w:rPr>
          <w:rFonts w:ascii="Effra" w:hAnsi="Effra" w:cs="Arial"/>
          <w:b/>
          <w:bCs/>
          <w:sz w:val="19"/>
          <w:szCs w:val="19"/>
          <w:lang w:val="da-DK"/>
        </w:rPr>
        <w:t>Vedtagelse</w:t>
      </w:r>
      <w:r w:rsidR="005C6C4D">
        <w:rPr>
          <w:rFonts w:ascii="Effra" w:hAnsi="Effra" w:cs="Arial"/>
          <w:b/>
          <w:bCs/>
          <w:sz w:val="19"/>
          <w:szCs w:val="19"/>
          <w:lang w:val="da-DK"/>
        </w:rPr>
        <w:t>, ændringer</w:t>
      </w:r>
      <w:r w:rsidRPr="00DA2E95">
        <w:rPr>
          <w:rFonts w:ascii="Effra" w:hAnsi="Effra" w:cs="Arial"/>
          <w:b/>
          <w:bCs/>
          <w:sz w:val="19"/>
          <w:szCs w:val="19"/>
          <w:lang w:val="da-DK"/>
        </w:rPr>
        <w:t xml:space="preserve"> og offentliggørelse </w:t>
      </w:r>
    </w:p>
    <w:p w14:paraId="124DAED0" w14:textId="4D2A062E" w:rsidR="005B3FC9" w:rsidRDefault="005B3FC9"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 xml:space="preserve">Vederlagspolitikken er behandlet og godkendt af Selskabets generalforsamling </w:t>
      </w:r>
      <w:r w:rsidR="00AF332F" w:rsidRPr="00DA2E95">
        <w:rPr>
          <w:rFonts w:ascii="Effra" w:hAnsi="Effra" w:cs="Arial"/>
          <w:sz w:val="19"/>
          <w:szCs w:val="19"/>
        </w:rPr>
        <w:t>den</w:t>
      </w:r>
      <w:r w:rsidR="00AF332F">
        <w:rPr>
          <w:rFonts w:ascii="Effra" w:hAnsi="Effra" w:cs="Arial"/>
          <w:sz w:val="19"/>
          <w:szCs w:val="19"/>
        </w:rPr>
        <w:t xml:space="preserve"> 2. april</w:t>
      </w:r>
      <w:r w:rsidR="00387D2B" w:rsidRPr="00593DEE">
        <w:rPr>
          <w:rFonts w:ascii="Effra" w:hAnsi="Effra" w:cs="Arial"/>
          <w:sz w:val="19"/>
          <w:szCs w:val="19"/>
        </w:rPr>
        <w:t xml:space="preserve"> </w:t>
      </w:r>
      <w:r w:rsidRPr="00593DEE">
        <w:rPr>
          <w:rFonts w:ascii="Effra" w:hAnsi="Effra" w:cs="Arial"/>
          <w:sz w:val="19"/>
          <w:szCs w:val="19"/>
        </w:rPr>
        <w:t>20</w:t>
      </w:r>
      <w:r w:rsidR="001D1D16">
        <w:rPr>
          <w:rFonts w:ascii="Effra" w:hAnsi="Effra" w:cs="Arial"/>
          <w:sz w:val="19"/>
          <w:szCs w:val="19"/>
        </w:rPr>
        <w:t>20</w:t>
      </w:r>
      <w:r w:rsidRPr="00593DEE">
        <w:rPr>
          <w:rFonts w:ascii="Effra" w:hAnsi="Effra" w:cs="Arial"/>
          <w:sz w:val="19"/>
          <w:szCs w:val="19"/>
        </w:rPr>
        <w:t>.</w:t>
      </w:r>
      <w:r w:rsidRPr="00DA2E95">
        <w:rPr>
          <w:rFonts w:ascii="Effra" w:hAnsi="Effra" w:cs="Arial"/>
          <w:sz w:val="19"/>
          <w:szCs w:val="19"/>
        </w:rPr>
        <w:t xml:space="preserve"> </w:t>
      </w:r>
    </w:p>
    <w:p w14:paraId="493828BF" w14:textId="77777777" w:rsidR="00966C48" w:rsidRDefault="00966C48" w:rsidP="00966C48">
      <w:pPr>
        <w:autoSpaceDE w:val="0"/>
        <w:autoSpaceDN w:val="0"/>
        <w:adjustRightInd w:val="0"/>
        <w:spacing w:after="120" w:line="280" w:lineRule="exact"/>
        <w:jc w:val="both"/>
        <w:rPr>
          <w:rFonts w:ascii="Effra" w:hAnsi="Effra" w:cs="Arial"/>
          <w:sz w:val="19"/>
          <w:szCs w:val="19"/>
        </w:rPr>
      </w:pPr>
      <w:r w:rsidRPr="00966C48">
        <w:rPr>
          <w:rFonts w:ascii="Effra" w:hAnsi="Effra" w:cs="Arial"/>
          <w:sz w:val="19"/>
          <w:szCs w:val="19"/>
        </w:rPr>
        <w:t>Vederlagsudvalget skal hvert år gennemgå vederlagspolitikken og udarbejde indstilling til bestyrelsen med</w:t>
      </w:r>
      <w:r>
        <w:rPr>
          <w:rFonts w:ascii="Effra" w:hAnsi="Effra" w:cs="Arial"/>
          <w:sz w:val="19"/>
          <w:szCs w:val="19"/>
        </w:rPr>
        <w:t xml:space="preserve"> </w:t>
      </w:r>
      <w:r w:rsidRPr="00966C48">
        <w:rPr>
          <w:rFonts w:ascii="Effra" w:hAnsi="Effra" w:cs="Arial"/>
          <w:sz w:val="19"/>
          <w:szCs w:val="19"/>
        </w:rPr>
        <w:t>eventuelle ændringsforslag</w:t>
      </w:r>
      <w:r w:rsidR="000F689A">
        <w:rPr>
          <w:rFonts w:ascii="Effra" w:hAnsi="Effra" w:cs="Arial"/>
          <w:sz w:val="19"/>
          <w:szCs w:val="19"/>
        </w:rPr>
        <w:t xml:space="preserve">. Bestyrelsen har ansvaret for </w:t>
      </w:r>
      <w:r w:rsidR="001E13EF">
        <w:rPr>
          <w:rFonts w:ascii="Effra" w:hAnsi="Effra" w:cs="Arial"/>
          <w:sz w:val="19"/>
          <w:szCs w:val="19"/>
        </w:rPr>
        <w:t>gennemførelse af vederlagspolitikken.</w:t>
      </w:r>
    </w:p>
    <w:p w14:paraId="0A7FF04C" w14:textId="77777777" w:rsidR="008E7E1F" w:rsidRPr="00DA2E95" w:rsidRDefault="008E7E1F" w:rsidP="008E7E1F">
      <w:pPr>
        <w:autoSpaceDE w:val="0"/>
        <w:autoSpaceDN w:val="0"/>
        <w:adjustRightInd w:val="0"/>
        <w:spacing w:after="120" w:line="280" w:lineRule="exact"/>
        <w:jc w:val="both"/>
        <w:rPr>
          <w:rFonts w:ascii="Effra" w:hAnsi="Effra" w:cs="Arial"/>
          <w:sz w:val="19"/>
          <w:szCs w:val="19"/>
        </w:rPr>
      </w:pPr>
      <w:r w:rsidRPr="008E7E1F">
        <w:rPr>
          <w:rFonts w:ascii="Effra" w:hAnsi="Effra" w:cs="Arial"/>
          <w:sz w:val="19"/>
          <w:szCs w:val="19"/>
        </w:rPr>
        <w:t>Vederlagspolitikken gælder i fire år med forbehold for eventuelle</w:t>
      </w:r>
      <w:r>
        <w:rPr>
          <w:rFonts w:ascii="Effra" w:hAnsi="Effra" w:cs="Arial"/>
          <w:sz w:val="19"/>
          <w:szCs w:val="19"/>
        </w:rPr>
        <w:t xml:space="preserve"> </w:t>
      </w:r>
      <w:r w:rsidRPr="008E7E1F">
        <w:rPr>
          <w:rFonts w:ascii="Effra" w:hAnsi="Effra" w:cs="Arial"/>
          <w:sz w:val="19"/>
          <w:szCs w:val="19"/>
        </w:rPr>
        <w:t>ændringsforslag fremsat af bestyrelsen på kommende generalforsamlinger</w:t>
      </w:r>
      <w:r>
        <w:rPr>
          <w:rFonts w:ascii="Effra" w:hAnsi="Effra" w:cs="Arial"/>
          <w:sz w:val="19"/>
          <w:szCs w:val="19"/>
        </w:rPr>
        <w:t>.</w:t>
      </w:r>
    </w:p>
    <w:p w14:paraId="69323CF8" w14:textId="603BF95C" w:rsidR="005B3FC9" w:rsidRPr="00DA2E95" w:rsidRDefault="005B3FC9" w:rsidP="005B3FC9">
      <w:pPr>
        <w:autoSpaceDE w:val="0"/>
        <w:autoSpaceDN w:val="0"/>
        <w:adjustRightInd w:val="0"/>
        <w:spacing w:after="120" w:line="280" w:lineRule="exact"/>
        <w:jc w:val="both"/>
        <w:rPr>
          <w:rFonts w:ascii="Effra" w:hAnsi="Effra" w:cs="Arial"/>
          <w:sz w:val="19"/>
          <w:szCs w:val="19"/>
        </w:rPr>
      </w:pPr>
      <w:r w:rsidRPr="00DA2E95">
        <w:rPr>
          <w:rFonts w:ascii="Effra" w:hAnsi="Effra" w:cs="Arial"/>
          <w:sz w:val="19"/>
          <w:szCs w:val="19"/>
        </w:rPr>
        <w:t>Vederlagspolitikken omtales i Selskabets årsrapport og offentliggøres på hjemmesiden (</w:t>
      </w:r>
      <w:hyperlink r:id="rId7" w:history="1">
        <w:r w:rsidRPr="00DA2E95">
          <w:rPr>
            <w:rFonts w:ascii="Effra" w:hAnsi="Effra" w:cs="Arial"/>
            <w:sz w:val="19"/>
            <w:szCs w:val="19"/>
          </w:rPr>
          <w:t>www.brondby.com</w:t>
        </w:r>
      </w:hyperlink>
      <w:r w:rsidRPr="00DA2E95">
        <w:rPr>
          <w:rFonts w:ascii="Effra" w:hAnsi="Effra" w:cs="Arial"/>
          <w:sz w:val="19"/>
          <w:szCs w:val="19"/>
        </w:rPr>
        <w:t>) under fanen Investor.</w:t>
      </w:r>
      <w:r w:rsidR="00880208">
        <w:rPr>
          <w:rFonts w:ascii="Effra" w:hAnsi="Effra" w:cs="Arial"/>
          <w:sz w:val="19"/>
          <w:szCs w:val="19"/>
        </w:rPr>
        <w:t xml:space="preserve"> </w:t>
      </w:r>
    </w:p>
    <w:p w14:paraId="4759DA1F" w14:textId="77777777" w:rsidR="005B3FC9" w:rsidRPr="00DA2E95" w:rsidRDefault="005B3FC9" w:rsidP="005B3FC9">
      <w:pPr>
        <w:autoSpaceDE w:val="0"/>
        <w:autoSpaceDN w:val="0"/>
        <w:adjustRightInd w:val="0"/>
        <w:spacing w:after="120" w:line="280" w:lineRule="exact"/>
        <w:jc w:val="both"/>
        <w:rPr>
          <w:rFonts w:ascii="Effra" w:hAnsi="Effra" w:cs="Arial"/>
          <w:sz w:val="19"/>
          <w:szCs w:val="19"/>
        </w:rPr>
      </w:pPr>
    </w:p>
    <w:p w14:paraId="5D11C3E8" w14:textId="77777777" w:rsidR="00BE19FB" w:rsidRPr="00DA2E95" w:rsidRDefault="005B3FC9" w:rsidP="004131D7">
      <w:pPr>
        <w:autoSpaceDE w:val="0"/>
        <w:autoSpaceDN w:val="0"/>
        <w:adjustRightInd w:val="0"/>
        <w:spacing w:after="120" w:line="280" w:lineRule="exact"/>
        <w:jc w:val="center"/>
      </w:pPr>
      <w:r w:rsidRPr="00DA2E95">
        <w:rPr>
          <w:rFonts w:ascii="Effra" w:hAnsi="Effra" w:cs="Arial"/>
          <w:sz w:val="19"/>
          <w:szCs w:val="19"/>
        </w:rPr>
        <w:t>*****</w:t>
      </w:r>
    </w:p>
    <w:sectPr w:rsidR="00BE19FB" w:rsidRPr="00DA2E95" w:rsidSect="007E5377">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BA45E" w14:textId="77777777" w:rsidR="00FD3771" w:rsidRDefault="00FD3771" w:rsidP="00277836">
      <w:r>
        <w:separator/>
      </w:r>
    </w:p>
  </w:endnote>
  <w:endnote w:type="continuationSeparator" w:id="0">
    <w:p w14:paraId="1F23D52C" w14:textId="77777777" w:rsidR="00FD3771" w:rsidRDefault="00FD3771" w:rsidP="0027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Helvetica LT Std Light">
    <w:altName w:val="Malgun Gothi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2693" w14:textId="77777777" w:rsidR="00277836" w:rsidRDefault="00277836">
    <w:pPr>
      <w:pStyle w:val="Sidefod"/>
    </w:pPr>
    <w:r>
      <w:rPr>
        <w:noProof/>
      </w:rPr>
      <w:drawing>
        <wp:anchor distT="0" distB="0" distL="114300" distR="114300" simplePos="0" relativeHeight="251658240" behindDoc="0" locked="0" layoutInCell="1" allowOverlap="1" wp14:anchorId="6F4F1334" wp14:editId="47A0A5A8">
          <wp:simplePos x="0" y="0"/>
          <wp:positionH relativeFrom="margin">
            <wp:align>center</wp:align>
          </wp:positionH>
          <wp:positionV relativeFrom="paragraph">
            <wp:posOffset>-473710</wp:posOffset>
          </wp:positionV>
          <wp:extent cx="7582535" cy="1078230"/>
          <wp:effectExtent l="0" t="0" r="0" b="7620"/>
          <wp:wrapNone/>
          <wp:docPr id="2" name="Billede 2" descr="CASPER_SSD:___BrandIdentitet:____brevpapi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PER_SSD:___BrandIdentitet:____brevpapi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1266" w14:textId="77777777" w:rsidR="00FD3771" w:rsidRDefault="00FD3771" w:rsidP="00277836">
      <w:r>
        <w:separator/>
      </w:r>
    </w:p>
  </w:footnote>
  <w:footnote w:type="continuationSeparator" w:id="0">
    <w:p w14:paraId="0EADDBE9" w14:textId="77777777" w:rsidR="00FD3771" w:rsidRDefault="00FD3771" w:rsidP="0027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6DA4" w14:textId="77777777" w:rsidR="00E56F26" w:rsidRPr="00E56F26" w:rsidRDefault="00E56F26" w:rsidP="00E56F26">
    <w:pPr>
      <w:pStyle w:val="Sidehoved"/>
      <w:jc w:val="right"/>
      <w:rPr>
        <w:rStyle w:val="Sidetal"/>
        <w:rFonts w:ascii="Helvetica LT Std Light" w:hAnsi="Helvetica LT Std Light"/>
        <w:sz w:val="20"/>
        <w:szCs w:val="20"/>
      </w:rPr>
    </w:pPr>
    <w:r w:rsidRPr="00E56F26">
      <w:rPr>
        <w:rStyle w:val="Sidetal"/>
        <w:rFonts w:ascii="Helvetica LT Std Light" w:hAnsi="Helvetica LT Std Light"/>
        <w:sz w:val="20"/>
        <w:szCs w:val="20"/>
      </w:rPr>
      <w:t xml:space="preserve">Side </w:t>
    </w:r>
    <w:r w:rsidRPr="00E56F26">
      <w:rPr>
        <w:rStyle w:val="Sidetal"/>
        <w:rFonts w:ascii="Helvetica LT Std Light" w:hAnsi="Helvetica LT Std Light"/>
        <w:sz w:val="20"/>
        <w:szCs w:val="20"/>
      </w:rPr>
      <w:fldChar w:fldCharType="begin"/>
    </w:r>
    <w:r w:rsidRPr="00E56F26">
      <w:rPr>
        <w:rStyle w:val="Sidetal"/>
        <w:rFonts w:ascii="Helvetica LT Std Light" w:hAnsi="Helvetica LT Std Light"/>
        <w:sz w:val="20"/>
        <w:szCs w:val="20"/>
      </w:rPr>
      <w:instrText xml:space="preserve">PAGE  </w:instrText>
    </w:r>
    <w:r w:rsidRPr="00E56F26">
      <w:rPr>
        <w:rStyle w:val="Sidetal"/>
        <w:rFonts w:ascii="Helvetica LT Std Light" w:hAnsi="Helvetica LT Std Light"/>
        <w:sz w:val="20"/>
        <w:szCs w:val="20"/>
      </w:rPr>
      <w:fldChar w:fldCharType="separate"/>
    </w:r>
    <w:r w:rsidR="00690CC3">
      <w:rPr>
        <w:rStyle w:val="Sidetal"/>
        <w:rFonts w:ascii="Helvetica LT Std Light" w:hAnsi="Helvetica LT Std Light"/>
        <w:noProof/>
        <w:sz w:val="20"/>
        <w:szCs w:val="20"/>
      </w:rPr>
      <w:t>3</w:t>
    </w:r>
    <w:r w:rsidRPr="00E56F26">
      <w:rPr>
        <w:rStyle w:val="Sidetal"/>
        <w:rFonts w:ascii="Helvetica LT Std Light" w:hAnsi="Helvetica LT Std Light"/>
        <w:sz w:val="20"/>
        <w:szCs w:val="20"/>
      </w:rPr>
      <w:fldChar w:fldCharType="end"/>
    </w:r>
    <w:r w:rsidR="002700C3">
      <w:rPr>
        <w:rStyle w:val="Sidetal"/>
        <w:rFonts w:ascii="Helvetica LT Std Light" w:hAnsi="Helvetica LT Std Light"/>
        <w:sz w:val="20"/>
        <w:szCs w:val="20"/>
      </w:rPr>
      <w:t xml:space="preserve"> af </w:t>
    </w:r>
    <w:r w:rsidR="00AF332F">
      <w:rPr>
        <w:rStyle w:val="Sidetal"/>
        <w:rFonts w:ascii="Helvetica LT Std Light" w:hAnsi="Helvetica LT Std Light"/>
        <w:sz w:val="20"/>
        <w:szCs w:val="20"/>
      </w:rPr>
      <w:t>3</w:t>
    </w:r>
  </w:p>
  <w:p w14:paraId="0F012165" w14:textId="77777777" w:rsidR="00E56F26" w:rsidRDefault="00E56F26" w:rsidP="00E56F26">
    <w:pPr>
      <w:pStyle w:val="Sidehoved"/>
      <w:jc w:val="right"/>
    </w:pPr>
  </w:p>
  <w:p w14:paraId="396ADA10" w14:textId="77777777" w:rsidR="00E56F26" w:rsidRDefault="00E56F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C62"/>
    <w:multiLevelType w:val="hybridMultilevel"/>
    <w:tmpl w:val="F99C6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6F346E"/>
    <w:multiLevelType w:val="hybridMultilevel"/>
    <w:tmpl w:val="4F247E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E15FE"/>
    <w:multiLevelType w:val="hybridMultilevel"/>
    <w:tmpl w:val="B8004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986532"/>
    <w:multiLevelType w:val="hybridMultilevel"/>
    <w:tmpl w:val="899EE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0D00DC"/>
    <w:multiLevelType w:val="hybridMultilevel"/>
    <w:tmpl w:val="2A765A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9A33A6"/>
    <w:multiLevelType w:val="hybridMultilevel"/>
    <w:tmpl w:val="D07E09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F108CD"/>
    <w:multiLevelType w:val="hybridMultilevel"/>
    <w:tmpl w:val="B298E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2A2428"/>
    <w:multiLevelType w:val="hybridMultilevel"/>
    <w:tmpl w:val="2B1C4FC8"/>
    <w:lvl w:ilvl="0" w:tplc="CC06AB02">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A4817F3"/>
    <w:multiLevelType w:val="hybridMultilevel"/>
    <w:tmpl w:val="112C2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4B5F80"/>
    <w:multiLevelType w:val="hybridMultilevel"/>
    <w:tmpl w:val="01662842"/>
    <w:lvl w:ilvl="0" w:tplc="EA22E196">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141FB"/>
    <w:multiLevelType w:val="hybridMultilevel"/>
    <w:tmpl w:val="143CA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4937D8"/>
    <w:multiLevelType w:val="hybridMultilevel"/>
    <w:tmpl w:val="3348A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10581F"/>
    <w:multiLevelType w:val="hybridMultilevel"/>
    <w:tmpl w:val="F8D0CE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57F6CF4"/>
    <w:multiLevelType w:val="hybridMultilevel"/>
    <w:tmpl w:val="DC9021D8"/>
    <w:lvl w:ilvl="0" w:tplc="98DEF5E4">
      <w:numFmt w:val="bullet"/>
      <w:lvlText w:val=""/>
      <w:lvlJc w:val="left"/>
      <w:pPr>
        <w:ind w:left="720" w:hanging="360"/>
      </w:pPr>
      <w:rPr>
        <w:rFonts w:ascii="Effra" w:eastAsiaTheme="minorHAnsi" w:hAnsi="Effr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7E261C0"/>
    <w:multiLevelType w:val="hybridMultilevel"/>
    <w:tmpl w:val="9D983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E62A68"/>
    <w:multiLevelType w:val="hybridMultilevel"/>
    <w:tmpl w:val="0AF6C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2"/>
  </w:num>
  <w:num w:numId="6">
    <w:abstractNumId w:val="12"/>
  </w:num>
  <w:num w:numId="7">
    <w:abstractNumId w:val="11"/>
  </w:num>
  <w:num w:numId="8">
    <w:abstractNumId w:val="4"/>
  </w:num>
  <w:num w:numId="9">
    <w:abstractNumId w:val="10"/>
  </w:num>
  <w:num w:numId="10">
    <w:abstractNumId w:val="8"/>
  </w:num>
  <w:num w:numId="11">
    <w:abstractNumId w:val="15"/>
  </w:num>
  <w:num w:numId="12">
    <w:abstractNumId w:val="13"/>
  </w:num>
  <w:num w:numId="13">
    <w:abstractNumId w:val="0"/>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A5"/>
    <w:rsid w:val="00006BF5"/>
    <w:rsid w:val="00020E1B"/>
    <w:rsid w:val="000336F1"/>
    <w:rsid w:val="00051103"/>
    <w:rsid w:val="00080327"/>
    <w:rsid w:val="000810F5"/>
    <w:rsid w:val="00082F60"/>
    <w:rsid w:val="0008546E"/>
    <w:rsid w:val="000969CD"/>
    <w:rsid w:val="000E3FCE"/>
    <w:rsid w:val="000E45BC"/>
    <w:rsid w:val="000E556E"/>
    <w:rsid w:val="000F689A"/>
    <w:rsid w:val="000F756A"/>
    <w:rsid w:val="001132F6"/>
    <w:rsid w:val="00115788"/>
    <w:rsid w:val="0012179A"/>
    <w:rsid w:val="00134980"/>
    <w:rsid w:val="0014354B"/>
    <w:rsid w:val="0015228B"/>
    <w:rsid w:val="00155C8C"/>
    <w:rsid w:val="0017038F"/>
    <w:rsid w:val="00170CA1"/>
    <w:rsid w:val="001B6BB5"/>
    <w:rsid w:val="001D1D16"/>
    <w:rsid w:val="001E13EF"/>
    <w:rsid w:val="001E78E1"/>
    <w:rsid w:val="001F140E"/>
    <w:rsid w:val="00204E75"/>
    <w:rsid w:val="00204FA0"/>
    <w:rsid w:val="00207F6B"/>
    <w:rsid w:val="00211419"/>
    <w:rsid w:val="002154D4"/>
    <w:rsid w:val="00216A77"/>
    <w:rsid w:val="00216C94"/>
    <w:rsid w:val="00223A8B"/>
    <w:rsid w:val="00237734"/>
    <w:rsid w:val="0024419E"/>
    <w:rsid w:val="00260650"/>
    <w:rsid w:val="002700C3"/>
    <w:rsid w:val="00277836"/>
    <w:rsid w:val="002A5BE5"/>
    <w:rsid w:val="002C58D5"/>
    <w:rsid w:val="002E79BD"/>
    <w:rsid w:val="00301BCE"/>
    <w:rsid w:val="003179E5"/>
    <w:rsid w:val="00320003"/>
    <w:rsid w:val="003472F7"/>
    <w:rsid w:val="0034783F"/>
    <w:rsid w:val="0035199E"/>
    <w:rsid w:val="003557BD"/>
    <w:rsid w:val="003621BA"/>
    <w:rsid w:val="00362680"/>
    <w:rsid w:val="0037656E"/>
    <w:rsid w:val="00376F9C"/>
    <w:rsid w:val="00387D2B"/>
    <w:rsid w:val="003966F7"/>
    <w:rsid w:val="003A2BB3"/>
    <w:rsid w:val="003D57F5"/>
    <w:rsid w:val="003D778A"/>
    <w:rsid w:val="003E3040"/>
    <w:rsid w:val="003F32D3"/>
    <w:rsid w:val="004131D7"/>
    <w:rsid w:val="004168CC"/>
    <w:rsid w:val="0043377B"/>
    <w:rsid w:val="00446810"/>
    <w:rsid w:val="00451AF4"/>
    <w:rsid w:val="00451E01"/>
    <w:rsid w:val="004538ED"/>
    <w:rsid w:val="0045568E"/>
    <w:rsid w:val="00455A44"/>
    <w:rsid w:val="00481918"/>
    <w:rsid w:val="004867E6"/>
    <w:rsid w:val="00493CE4"/>
    <w:rsid w:val="004F3439"/>
    <w:rsid w:val="00542ED2"/>
    <w:rsid w:val="0056543E"/>
    <w:rsid w:val="00592A4E"/>
    <w:rsid w:val="00593DEE"/>
    <w:rsid w:val="00594FB1"/>
    <w:rsid w:val="00596BDD"/>
    <w:rsid w:val="005A7D6C"/>
    <w:rsid w:val="005B113A"/>
    <w:rsid w:val="005B3FC9"/>
    <w:rsid w:val="005B646B"/>
    <w:rsid w:val="005C6C4D"/>
    <w:rsid w:val="005D01C3"/>
    <w:rsid w:val="005D7CBE"/>
    <w:rsid w:val="005E22BC"/>
    <w:rsid w:val="005F0049"/>
    <w:rsid w:val="005F2FD9"/>
    <w:rsid w:val="005F74C3"/>
    <w:rsid w:val="0060386A"/>
    <w:rsid w:val="00605153"/>
    <w:rsid w:val="006208D4"/>
    <w:rsid w:val="00621627"/>
    <w:rsid w:val="00625B5A"/>
    <w:rsid w:val="00655D7E"/>
    <w:rsid w:val="006750FC"/>
    <w:rsid w:val="0068152F"/>
    <w:rsid w:val="00690CC3"/>
    <w:rsid w:val="006A0F1C"/>
    <w:rsid w:val="006A3149"/>
    <w:rsid w:val="006A476F"/>
    <w:rsid w:val="006A6759"/>
    <w:rsid w:val="006B783F"/>
    <w:rsid w:val="006E6888"/>
    <w:rsid w:val="00704F0A"/>
    <w:rsid w:val="00716C79"/>
    <w:rsid w:val="00735489"/>
    <w:rsid w:val="007401DE"/>
    <w:rsid w:val="00740E58"/>
    <w:rsid w:val="00762A3E"/>
    <w:rsid w:val="00765B11"/>
    <w:rsid w:val="007752F7"/>
    <w:rsid w:val="00787F70"/>
    <w:rsid w:val="007928AD"/>
    <w:rsid w:val="007D3A29"/>
    <w:rsid w:val="007E1FE3"/>
    <w:rsid w:val="007E5377"/>
    <w:rsid w:val="007F6ECA"/>
    <w:rsid w:val="00806EB2"/>
    <w:rsid w:val="00837F14"/>
    <w:rsid w:val="0084349F"/>
    <w:rsid w:val="008511C5"/>
    <w:rsid w:val="00854B33"/>
    <w:rsid w:val="0088019B"/>
    <w:rsid w:val="00880208"/>
    <w:rsid w:val="00890FAE"/>
    <w:rsid w:val="00894272"/>
    <w:rsid w:val="008A3E05"/>
    <w:rsid w:val="008A796D"/>
    <w:rsid w:val="008E1CE2"/>
    <w:rsid w:val="008E28C8"/>
    <w:rsid w:val="008E7B62"/>
    <w:rsid w:val="008E7E1F"/>
    <w:rsid w:val="009059E1"/>
    <w:rsid w:val="0091617A"/>
    <w:rsid w:val="009250EE"/>
    <w:rsid w:val="0092585E"/>
    <w:rsid w:val="0093221F"/>
    <w:rsid w:val="00936DAF"/>
    <w:rsid w:val="009501FB"/>
    <w:rsid w:val="00952395"/>
    <w:rsid w:val="00966C48"/>
    <w:rsid w:val="0097160E"/>
    <w:rsid w:val="009A74A5"/>
    <w:rsid w:val="009B18F3"/>
    <w:rsid w:val="009B38BE"/>
    <w:rsid w:val="009D1C13"/>
    <w:rsid w:val="009D41D2"/>
    <w:rsid w:val="009D6E2F"/>
    <w:rsid w:val="00A2714B"/>
    <w:rsid w:val="00A35534"/>
    <w:rsid w:val="00A36819"/>
    <w:rsid w:val="00A37B74"/>
    <w:rsid w:val="00A64DE5"/>
    <w:rsid w:val="00A73DF7"/>
    <w:rsid w:val="00AA20E1"/>
    <w:rsid w:val="00AB5349"/>
    <w:rsid w:val="00AE70DD"/>
    <w:rsid w:val="00AF332F"/>
    <w:rsid w:val="00B019B2"/>
    <w:rsid w:val="00B1282C"/>
    <w:rsid w:val="00B16F74"/>
    <w:rsid w:val="00B16F87"/>
    <w:rsid w:val="00B21CD2"/>
    <w:rsid w:val="00B55DE8"/>
    <w:rsid w:val="00B57DD7"/>
    <w:rsid w:val="00B639D2"/>
    <w:rsid w:val="00B7756A"/>
    <w:rsid w:val="00B94F2C"/>
    <w:rsid w:val="00BA0B7C"/>
    <w:rsid w:val="00BB05B8"/>
    <w:rsid w:val="00BB0EC9"/>
    <w:rsid w:val="00BC03BF"/>
    <w:rsid w:val="00BD3EE0"/>
    <w:rsid w:val="00BE0EE4"/>
    <w:rsid w:val="00BE19FB"/>
    <w:rsid w:val="00BF2FCA"/>
    <w:rsid w:val="00C020B4"/>
    <w:rsid w:val="00C031CC"/>
    <w:rsid w:val="00C07436"/>
    <w:rsid w:val="00C3368A"/>
    <w:rsid w:val="00C43F51"/>
    <w:rsid w:val="00C5114D"/>
    <w:rsid w:val="00C52D36"/>
    <w:rsid w:val="00C55C80"/>
    <w:rsid w:val="00C57ACC"/>
    <w:rsid w:val="00CA179C"/>
    <w:rsid w:val="00CB3EDF"/>
    <w:rsid w:val="00CE6748"/>
    <w:rsid w:val="00CF0699"/>
    <w:rsid w:val="00D14759"/>
    <w:rsid w:val="00D22888"/>
    <w:rsid w:val="00D36024"/>
    <w:rsid w:val="00D51DC7"/>
    <w:rsid w:val="00D57857"/>
    <w:rsid w:val="00D66313"/>
    <w:rsid w:val="00D66351"/>
    <w:rsid w:val="00D6789E"/>
    <w:rsid w:val="00D74D17"/>
    <w:rsid w:val="00D9015C"/>
    <w:rsid w:val="00DA0697"/>
    <w:rsid w:val="00DA2E95"/>
    <w:rsid w:val="00DA5C88"/>
    <w:rsid w:val="00DC7C8A"/>
    <w:rsid w:val="00DF1D1B"/>
    <w:rsid w:val="00DF44BA"/>
    <w:rsid w:val="00E12794"/>
    <w:rsid w:val="00E22902"/>
    <w:rsid w:val="00E34829"/>
    <w:rsid w:val="00E53713"/>
    <w:rsid w:val="00E56F26"/>
    <w:rsid w:val="00E77826"/>
    <w:rsid w:val="00E9015E"/>
    <w:rsid w:val="00EA7D59"/>
    <w:rsid w:val="00EC37E0"/>
    <w:rsid w:val="00EC3F83"/>
    <w:rsid w:val="00EE7612"/>
    <w:rsid w:val="00EF10A5"/>
    <w:rsid w:val="00F031D1"/>
    <w:rsid w:val="00F11D9B"/>
    <w:rsid w:val="00F13F67"/>
    <w:rsid w:val="00F1584C"/>
    <w:rsid w:val="00F43400"/>
    <w:rsid w:val="00F464F8"/>
    <w:rsid w:val="00F616D7"/>
    <w:rsid w:val="00F769C3"/>
    <w:rsid w:val="00F87E0D"/>
    <w:rsid w:val="00F9400E"/>
    <w:rsid w:val="00FB3C84"/>
    <w:rsid w:val="00FB777A"/>
    <w:rsid w:val="00FC09FC"/>
    <w:rsid w:val="00FC42B0"/>
    <w:rsid w:val="00FD3771"/>
    <w:rsid w:val="00FE62A3"/>
    <w:rsid w:val="00FE6994"/>
    <w:rsid w:val="00FE7ADE"/>
    <w:rsid w:val="00FF5AC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5DE4C"/>
  <w15:docId w15:val="{5512636C-52D3-4238-B65C-479F6501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qFormat/>
    <w:rsid w:val="00E56F26"/>
    <w:pPr>
      <w:keepNext/>
      <w:spacing w:before="240" w:after="60" w:line="288" w:lineRule="auto"/>
      <w:outlineLvl w:val="1"/>
    </w:pPr>
    <w:rPr>
      <w:rFonts w:ascii="Frutiger LT Std 45 Light" w:eastAsia="Times New Roman" w:hAnsi="Frutiger LT Std 45 Light" w:cs="Arial"/>
      <w:b/>
      <w:bCs/>
      <w:i/>
      <w:iCs/>
      <w:color w:val="00000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7783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277836"/>
    <w:rPr>
      <w:rFonts w:ascii="Lucida Grande" w:hAnsi="Lucida Grande"/>
      <w:sz w:val="18"/>
      <w:szCs w:val="18"/>
    </w:rPr>
  </w:style>
  <w:style w:type="paragraph" w:styleId="Sidehoved">
    <w:name w:val="header"/>
    <w:basedOn w:val="Normal"/>
    <w:link w:val="SidehovedTegn"/>
    <w:unhideWhenUsed/>
    <w:rsid w:val="00277836"/>
    <w:pPr>
      <w:tabs>
        <w:tab w:val="center" w:pos="4819"/>
        <w:tab w:val="right" w:pos="9638"/>
      </w:tabs>
    </w:pPr>
  </w:style>
  <w:style w:type="character" w:customStyle="1" w:styleId="SidehovedTegn">
    <w:name w:val="Sidehoved Tegn"/>
    <w:basedOn w:val="Standardskrifttypeiafsnit"/>
    <w:link w:val="Sidehoved"/>
    <w:uiPriority w:val="99"/>
    <w:rsid w:val="00277836"/>
  </w:style>
  <w:style w:type="paragraph" w:styleId="Sidefod">
    <w:name w:val="footer"/>
    <w:basedOn w:val="Normal"/>
    <w:link w:val="SidefodTegn"/>
    <w:uiPriority w:val="99"/>
    <w:unhideWhenUsed/>
    <w:rsid w:val="00277836"/>
    <w:pPr>
      <w:tabs>
        <w:tab w:val="center" w:pos="4819"/>
        <w:tab w:val="right" w:pos="9638"/>
      </w:tabs>
    </w:pPr>
  </w:style>
  <w:style w:type="character" w:customStyle="1" w:styleId="SidefodTegn">
    <w:name w:val="Sidefod Tegn"/>
    <w:basedOn w:val="Standardskrifttypeiafsnit"/>
    <w:link w:val="Sidefod"/>
    <w:uiPriority w:val="99"/>
    <w:rsid w:val="00277836"/>
  </w:style>
  <w:style w:type="paragraph" w:customStyle="1" w:styleId="BasicParagraph">
    <w:name w:val="[Basic Paragraph]"/>
    <w:basedOn w:val="Normal"/>
    <w:uiPriority w:val="99"/>
    <w:rsid w:val="006A3149"/>
    <w:pPr>
      <w:autoSpaceDE w:val="0"/>
      <w:autoSpaceDN w:val="0"/>
      <w:adjustRightInd w:val="0"/>
      <w:spacing w:line="288" w:lineRule="auto"/>
      <w:textAlignment w:val="center"/>
    </w:pPr>
    <w:rPr>
      <w:rFonts w:ascii="Minion Pro" w:eastAsia="Times New Roman" w:hAnsi="Minion Pro" w:cs="Minion Pro"/>
      <w:color w:val="000000"/>
      <w:lang w:val="en-GB"/>
    </w:rPr>
  </w:style>
  <w:style w:type="paragraph" w:styleId="Listeafsnit">
    <w:name w:val="List Paragraph"/>
    <w:basedOn w:val="Normal"/>
    <w:uiPriority w:val="34"/>
    <w:qFormat/>
    <w:rsid w:val="006A3149"/>
    <w:pPr>
      <w:ind w:left="720"/>
      <w:contextualSpacing/>
    </w:pPr>
    <w:rPr>
      <w:rFonts w:ascii="Arial" w:eastAsia="Times New Roman" w:hAnsi="Arial" w:cs="Times New Roman"/>
      <w:lang w:val="en-GB"/>
    </w:rPr>
  </w:style>
  <w:style w:type="character" w:customStyle="1" w:styleId="Overskrift2Tegn">
    <w:name w:val="Overskrift 2 Tegn"/>
    <w:basedOn w:val="Standardskrifttypeiafsnit"/>
    <w:link w:val="Overskrift2"/>
    <w:rsid w:val="00E56F26"/>
    <w:rPr>
      <w:rFonts w:ascii="Frutiger LT Std 45 Light" w:eastAsia="Times New Roman" w:hAnsi="Frutiger LT Std 45 Light" w:cs="Arial"/>
      <w:b/>
      <w:bCs/>
      <w:i/>
      <w:iCs/>
      <w:color w:val="000000"/>
      <w:szCs w:val="28"/>
    </w:rPr>
  </w:style>
  <w:style w:type="character" w:styleId="Sidetal">
    <w:name w:val="page number"/>
    <w:rsid w:val="00E56F26"/>
    <w:rPr>
      <w:rFonts w:ascii="Frutiger LT Std 45 Light" w:hAnsi="Frutiger LT Std 45 Light"/>
    </w:rPr>
  </w:style>
  <w:style w:type="character" w:customStyle="1" w:styleId="apple-converted-space">
    <w:name w:val="apple-converted-space"/>
    <w:basedOn w:val="Standardskrifttypeiafsnit"/>
    <w:rsid w:val="00E56F26"/>
  </w:style>
  <w:style w:type="paragraph" w:customStyle="1" w:styleId="Default">
    <w:name w:val="Default"/>
    <w:rsid w:val="00BE19FB"/>
    <w:pPr>
      <w:autoSpaceDE w:val="0"/>
      <w:autoSpaceDN w:val="0"/>
      <w:adjustRightInd w:val="0"/>
    </w:pPr>
    <w:rPr>
      <w:rFonts w:ascii="Times New Roman" w:eastAsiaTheme="minorHAnsi" w:hAnsi="Times New Roman" w:cs="Times New Roman"/>
      <w:color w:val="000000"/>
      <w:lang w:eastAsia="en-US"/>
    </w:rPr>
  </w:style>
  <w:style w:type="character" w:styleId="Kommentarhenvisning">
    <w:name w:val="annotation reference"/>
    <w:basedOn w:val="Standardskrifttypeiafsnit"/>
    <w:uiPriority w:val="99"/>
    <w:semiHidden/>
    <w:unhideWhenUsed/>
    <w:rsid w:val="005D01C3"/>
    <w:rPr>
      <w:sz w:val="16"/>
      <w:szCs w:val="16"/>
    </w:rPr>
  </w:style>
  <w:style w:type="paragraph" w:styleId="Kommentartekst">
    <w:name w:val="annotation text"/>
    <w:basedOn w:val="Normal"/>
    <w:link w:val="KommentartekstTegn"/>
    <w:uiPriority w:val="99"/>
    <w:semiHidden/>
    <w:unhideWhenUsed/>
    <w:rsid w:val="005D01C3"/>
    <w:rPr>
      <w:sz w:val="20"/>
      <w:szCs w:val="20"/>
    </w:rPr>
  </w:style>
  <w:style w:type="character" w:customStyle="1" w:styleId="KommentartekstTegn">
    <w:name w:val="Kommentartekst Tegn"/>
    <w:basedOn w:val="Standardskrifttypeiafsnit"/>
    <w:link w:val="Kommentartekst"/>
    <w:uiPriority w:val="99"/>
    <w:semiHidden/>
    <w:rsid w:val="005D01C3"/>
    <w:rPr>
      <w:sz w:val="20"/>
      <w:szCs w:val="20"/>
    </w:rPr>
  </w:style>
  <w:style w:type="paragraph" w:styleId="Kommentaremne">
    <w:name w:val="annotation subject"/>
    <w:basedOn w:val="Kommentartekst"/>
    <w:next w:val="Kommentartekst"/>
    <w:link w:val="KommentaremneTegn"/>
    <w:uiPriority w:val="99"/>
    <w:semiHidden/>
    <w:unhideWhenUsed/>
    <w:rsid w:val="005D01C3"/>
    <w:rPr>
      <w:b/>
      <w:bCs/>
    </w:rPr>
  </w:style>
  <w:style w:type="character" w:customStyle="1" w:styleId="KommentaremneTegn">
    <w:name w:val="Kommentaremne Tegn"/>
    <w:basedOn w:val="KommentartekstTegn"/>
    <w:link w:val="Kommentaremne"/>
    <w:uiPriority w:val="99"/>
    <w:semiHidden/>
    <w:rsid w:val="005D01C3"/>
    <w:rPr>
      <w:b/>
      <w:bCs/>
      <w:sz w:val="20"/>
      <w:szCs w:val="20"/>
    </w:rPr>
  </w:style>
  <w:style w:type="table" w:styleId="Tabel-Gitter">
    <w:name w:val="Table Grid"/>
    <w:basedOn w:val="Tabel-Normal"/>
    <w:uiPriority w:val="59"/>
    <w:rsid w:val="00D7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rondby.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0B42ECE5D423428B8983ECC34A41CD" ma:contentTypeVersion="10" ma:contentTypeDescription="Opret et nyt dokument." ma:contentTypeScope="" ma:versionID="61865ce67bf2138789c79cc6e2bea558">
  <xsd:schema xmlns:xsd="http://www.w3.org/2001/XMLSchema" xmlns:xs="http://www.w3.org/2001/XMLSchema" xmlns:p="http://schemas.microsoft.com/office/2006/metadata/properties" xmlns:ns2="e8a8d8f2-1c4e-43b4-87e4-7d33b3bc71b7" xmlns:ns3="4d1ce253-7048-4801-8629-1c02bd5f3ce4" targetNamespace="http://schemas.microsoft.com/office/2006/metadata/properties" ma:root="true" ma:fieldsID="c29ad5b46bf4e5761aa0f655e4923569" ns2:_="" ns3:_="">
    <xsd:import namespace="e8a8d8f2-1c4e-43b4-87e4-7d33b3bc71b7"/>
    <xsd:import namespace="4d1ce253-7048-4801-8629-1c02bd5f3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8d8f2-1c4e-43b4-87e4-7d33b3bc7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ce253-7048-4801-8629-1c02bd5f3ce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43651-3931-4959-89AC-3A649C1544B4}"/>
</file>

<file path=customXml/itemProps2.xml><?xml version="1.0" encoding="utf-8"?>
<ds:datastoreItem xmlns:ds="http://schemas.openxmlformats.org/officeDocument/2006/customXml" ds:itemID="{0A59A831-AF4F-4508-9D6C-179853F6D1CE}"/>
</file>

<file path=customXml/itemProps3.xml><?xml version="1.0" encoding="utf-8"?>
<ds:datastoreItem xmlns:ds="http://schemas.openxmlformats.org/officeDocument/2006/customXml" ds:itemID="{776F83A8-C70C-4145-8DEF-C9C8AD726A08}"/>
</file>

<file path=docProps/app.xml><?xml version="1.0" encoding="utf-8"?>
<Properties xmlns="http://schemas.openxmlformats.org/officeDocument/2006/extended-properties" xmlns:vt="http://schemas.openxmlformats.org/officeDocument/2006/docPropsVTypes">
  <Template>Normal</Template>
  <TotalTime>7</TotalTime>
  <Pages>4</Pages>
  <Words>1452</Words>
  <Characters>8863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Brøndby-IF</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Vestergaard Knudsen</dc:creator>
  <cp:lastModifiedBy>Anders Nielsen</cp:lastModifiedBy>
  <cp:revision>3</cp:revision>
  <cp:lastPrinted>2019-02-05T08:22:00Z</cp:lastPrinted>
  <dcterms:created xsi:type="dcterms:W3CDTF">2020-03-02T15:58:00Z</dcterms:created>
  <dcterms:modified xsi:type="dcterms:W3CDTF">2020-03-02T16:05:00Z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0x010100A80B42ECE5D423428B8983ECC34A41CD</vt:lpwstr>
  </property>
  <property fmtid="{D5CDD505-2E9C-101B-9397-08002B2CF9AE}" pid="3" name="Order">
    <vt:r8>3851800</vt:r8>
  </property>
</Properties>
</file>